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E8344" w14:textId="7BD9EC22" w:rsidR="0053139D" w:rsidRPr="00321EB6" w:rsidRDefault="0052683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28E5B865">
                <wp:simplePos x="0" y="0"/>
                <wp:positionH relativeFrom="margin">
                  <wp:posOffset>3814445</wp:posOffset>
                </wp:positionH>
                <wp:positionV relativeFrom="paragraph">
                  <wp:posOffset>101990</wp:posOffset>
                </wp:positionV>
                <wp:extent cx="2238375" cy="1667120"/>
                <wp:effectExtent l="0" t="0" r="952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1667120"/>
                          <a:chOff x="269" y="280"/>
                          <a:chExt cx="4294" cy="2498"/>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280"/>
                            <a:ext cx="1918"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69" y="1953"/>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526836" w:rsidRDefault="00321EB6" w:rsidP="00321EB6">
                              <w:pPr>
                                <w:spacing w:after="0"/>
                                <w:ind w:left="109"/>
                                <w:jc w:val="center"/>
                                <w:rPr>
                                  <w:b/>
                                </w:rPr>
                              </w:pPr>
                              <w:r w:rsidRPr="00526836">
                                <w:rPr>
                                  <w:b/>
                                </w:rPr>
                                <w:t>Administrative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left:0;text-align:left;margin-left:300.35pt;margin-top:8.05pt;width:176.25pt;height:131.25pt;z-index:251661312;mso-position-horizontal-relative:margin;mso-width-relative:margin;mso-height-relative:margin" coordorigin="269,280" coordsize="4294,2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Li5newQAANYLAAAOAAAAZHJzL2Uyb0RvYy54bWzsVttu4zYQfS/QfyD0&#10;rlhSZFsS4iwS2Q4WSNugm34ALVESsRKpknTsbNF/7wwp+ZJkd4Pd1xqwwOtw5pwzHF592HcteWJK&#10;cykWXngReISJQpZc1Avvr8e1n3hEGypK2krBFt4z096H619/udr1GYtkI9uSKQJGhM52/cJrjOmz&#10;yUQXDeuovpA9EzBZSdVRA11VT0pFd2C9aydREMwmO6nKXsmCaQ2jSzfpXVv7VcUK80dVaWZIu/DA&#10;N2O/yn43+J1cX9GsVrRveDG4QX/Ai45yAYceTC2poWSr+CtTHS+U1LIyF4XsJrKqeMFsDBBNGLyI&#10;5k7JbW9jqbNd3R9gAmhf4PTDZovfnx4U4eXCizwiaAcU2VNJhNDs+jqDFXeq/9Q/KBcfNO9l8VnD&#10;9OTlPPZrt5hsdr/JEszRrZEWmn2lOjQBQZO9ZeD5wADbG1LAYBRdJpfzqUcKmAtns3kYDRwVDRCJ&#10;+6JZ6hGYjZLDzGrYHUdp7LZGcZpgABOauWOtq4Nr11c9LzL4D4BC6xWg3xce7DJbxbzBSPcuGx1V&#10;n7e9D9z31PANb7l5tjoGhNAp8fTAC0QaO0duLkduYBYPJTBQMl2AkO9lLR9p297mVJUY8rjT2aEY&#10;p+WLCJk3VNTsRveQFgAvGB2HlJK7htFS4zDidm7Fds9827S8X/O2RUKxPaAADr1Q5htAOtUvZbHt&#10;mDAujRVrARApdMN77RGVsW7DQJXqYwl+FnCFGNBSr7gwVkwgmHtt8HSUjs20f6LkJgjS6NbPp0Hu&#10;x8F85d+k8dyfB6t5HMRJmIf5v7g7jLOtZoAKbZc9H1yH0VfOv5lWwwXkEtYmPnmi9npxggOHrPBG&#10;F0GDiBD6qlXxJ2AP66BtFDNFg80KgBzGYfFhwqJ+BBop0ZCG382scDoDzE5TBDHC9ArTEO5jm1vx&#10;dHqWICAUpc0dkx3BBiAPjlqo6RMg7UIbl6DTQiL/NpRWnA1ADG5kROCUpDRIV8kqif04mq2ApOXS&#10;v1nnsT9bh/Pp8nKZ58twJKnhZckEHvPzHFnIZcvLUbVa1Zu8VY67tf0NgOjjsglq5ejGyCsaQ0yd&#10;7tIwioPbKPXXs2Tux+t46qfzIPGDML1NZ0Gcxsv1eUj3XLCfD4nsFl46jaaWpROnUWcnsQX29zo2&#10;mnXcQPFtebfwksMimuFFsBKlpdZQ3rr2CRTo/hEKoHsk2ioWNTrcICBZLCJQ2vV4Q0DvfWmGhf2t&#10;ovipoT2DkNHs8YaEkuGq1yPyciv3YwGzi7B6EbOHYbzfrBRcEfvGDTjYd4UPO+/KvbE6hen0EiF3&#10;OsHcOxanBChz+TSWxDGv3pl6X+f6azoeM/KQtN/O0f8FPZQXeDY44p3ezH6zB+ZwcCPLZxCVknBV&#10;wsMSnsDQaKT64pEdPCcXnv57S/F50H4UoPg0jGN8f9pOPJ3Ds4ao05nN6QwVBZhaeMYjrpkb6MGW&#10;LVTAuoGTnIqFvIHXVcXt9Xz0CrIPO5B0tmUfjzZfh4cuvk5P+3bV8Tl+/R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wpcz4QAAAAoBAAAPAAAAZHJzL2Rvd25yZXYueG1sTI9B&#10;S8NAEIXvgv9hGcGb3U1K0xqzKaWopyLYCuJtm0yT0OxsyG6T9N87nuxxeB/vfZOtJ9uKAXvfONIQ&#10;zRQIpMKVDVUavg5vTysQPhgqTesINVzRwzq/v8tMWrqRPnHYh0pwCfnUaKhD6FIpfVGjNX7mOiTO&#10;Tq63JvDZV7LszcjltpWxUom0piFeqE2H2xqL8/5iNbyPZtzMo9dhdz5trz+Hxcf3LkKtHx+mzQuI&#10;gFP4h+FPn9UhZ6eju1DpRashUWrJKAdJBIKB58U8BnHUEC9XCcg8k7cv5L8A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jLi5newQAANYLAAAOAAAAAAAAAAAA&#10;AAAAADoCAABkcnMvZTJvRG9jLnhtbFBLAQItABQABgAIAAAAIQCqJg6+vAAAACEBAAAZAAAAAAAA&#10;AAAAAAAAAOEGAABkcnMvX3JlbHMvZTJvRG9jLnhtbC5yZWxzUEsBAi0AFAAGAAgAAAAhAD7ClzPh&#10;AAAACgEAAA8AAAAAAAAAAAAAAAAA1A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1;top:280;width:1918;height:1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69;top:1953;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526836" w:rsidRDefault="00321EB6" w:rsidP="00321EB6">
                        <w:pPr>
                          <w:spacing w:after="0"/>
                          <w:ind w:left="109"/>
                          <w:jc w:val="center"/>
                          <w:rPr>
                            <w:b/>
                          </w:rPr>
                        </w:pPr>
                        <w:r w:rsidRPr="00526836">
                          <w:rPr>
                            <w:b/>
                          </w:rPr>
                          <w:t>Administrative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sidR="00321EB6">
        <w:rPr>
          <w:rFonts w:ascii="Arial" w:eastAsia="Arial" w:hAnsi="Arial" w:cs="Arial"/>
          <w:b/>
          <w:sz w:val="32"/>
          <w:szCs w:val="32"/>
        </w:rPr>
        <w:t xml:space="preserve">                       </w:t>
      </w:r>
      <w:r w:rsidR="000F56F8" w:rsidRPr="00321EB6">
        <w:rPr>
          <w:rFonts w:ascii="Arial" w:eastAsia="Arial" w:hAnsi="Arial" w:cs="Arial"/>
          <w:b/>
          <w:sz w:val="32"/>
          <w:szCs w:val="32"/>
        </w:rPr>
        <w:t>N</w:t>
      </w:r>
      <w:r w:rsidR="00321EB6">
        <w:rPr>
          <w:rFonts w:ascii="Arial" w:eastAsia="Arial" w:hAnsi="Arial" w:cs="Arial"/>
          <w:b/>
          <w:sz w:val="32"/>
          <w:szCs w:val="32"/>
        </w:rPr>
        <w:t xml:space="preserve">eeds Analysis and </w:t>
      </w:r>
      <w:r w:rsidR="009F1B1C">
        <w:rPr>
          <w:rFonts w:ascii="Arial" w:eastAsia="Arial" w:hAnsi="Arial" w:cs="Arial"/>
          <w:b/>
          <w:sz w:val="32"/>
          <w:szCs w:val="32"/>
        </w:rPr>
        <w:t>Renewal</w:t>
      </w:r>
      <w:r w:rsidR="00321EB6">
        <w:rPr>
          <w:rFonts w:ascii="Arial" w:eastAsia="Arial" w:hAnsi="Arial" w:cs="Arial"/>
          <w:b/>
          <w:sz w:val="32"/>
          <w:szCs w:val="32"/>
        </w:rPr>
        <w:t xml:space="preserve"> Form</w:t>
      </w:r>
    </w:p>
    <w:p w14:paraId="1CFEBEC4" w14:textId="78C9E4E8" w:rsidR="0053139D" w:rsidRDefault="00C045DD">
      <w:pPr>
        <w:spacing w:after="52" w:line="259" w:lineRule="auto"/>
        <w:ind w:left="0" w:right="38" w:firstLine="0"/>
        <w:jc w:val="left"/>
      </w:pPr>
      <w:r>
        <w:rPr>
          <w:noProof/>
        </w:rPr>
        <w:drawing>
          <wp:anchor distT="0" distB="0" distL="114300" distR="114300" simplePos="0" relativeHeight="251662336" behindDoc="0" locked="0" layoutInCell="1" allowOverlap="1" wp14:anchorId="745FA1B2" wp14:editId="2F204C83">
            <wp:simplePos x="0" y="0"/>
            <wp:positionH relativeFrom="margin">
              <wp:align>left</wp:align>
            </wp:positionH>
            <wp:positionV relativeFrom="paragraph">
              <wp:posOffset>2540</wp:posOffset>
            </wp:positionV>
            <wp:extent cx="1931035" cy="10763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035" cy="1076325"/>
                    </a:xfrm>
                    <a:prstGeom prst="rect">
                      <a:avLst/>
                    </a:prstGeom>
                  </pic:spPr>
                </pic:pic>
              </a:graphicData>
            </a:graphic>
          </wp:anchor>
        </w:drawing>
      </w:r>
      <w:r w:rsidR="000F56F8">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48799870"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301CE2">
      <w:pPr>
        <w:spacing w:after="9" w:line="259" w:lineRule="auto"/>
        <w:ind w:left="1966" w:right="38" w:firstLine="0"/>
        <w:jc w:val="left"/>
      </w:pPr>
      <w:hyperlink r:id="rId11">
        <w:r w:rsidR="000F56F8">
          <w:t xml:space="preserve"> </w:t>
        </w:r>
      </w:hyperlink>
    </w:p>
    <w:p w14:paraId="73749448" w14:textId="77777777" w:rsidR="0053139D" w:rsidRDefault="000F56F8">
      <w:pPr>
        <w:spacing w:after="0" w:line="259" w:lineRule="auto"/>
        <w:ind w:left="0" w:right="38" w:firstLine="0"/>
        <w:jc w:val="left"/>
      </w:pPr>
      <w:r>
        <w:t xml:space="preserve"> </w:t>
      </w:r>
    </w:p>
    <w:p w14:paraId="46852E13" w14:textId="77777777" w:rsidR="00526836" w:rsidRDefault="00526836" w:rsidP="00321EB6">
      <w:pPr>
        <w:ind w:right="605"/>
        <w:rPr>
          <w:sz w:val="20"/>
          <w:szCs w:val="20"/>
        </w:rPr>
      </w:pPr>
    </w:p>
    <w:p w14:paraId="05660CB4" w14:textId="0F79963C" w:rsidR="00321EB6" w:rsidRPr="00526836" w:rsidRDefault="00526836" w:rsidP="00321EB6">
      <w:pPr>
        <w:ind w:right="605"/>
        <w:rPr>
          <w:rFonts w:asciiTheme="minorHAnsi" w:hAnsiTheme="minorHAnsi" w:cs="Arial"/>
          <w:b/>
        </w:rPr>
      </w:pPr>
      <w:r w:rsidRPr="00526836">
        <w:rPr>
          <w:rFonts w:asciiTheme="minorHAnsi" w:hAnsiTheme="minorHAnsi" w:cs="Arial"/>
          <w:b/>
        </w:rPr>
        <w:t>Advising Broker</w:t>
      </w:r>
    </w:p>
    <w:p w14:paraId="7A370AAF" w14:textId="51359618" w:rsidR="00526836" w:rsidRPr="00526836" w:rsidRDefault="00526836" w:rsidP="00321EB6">
      <w:pPr>
        <w:ind w:right="605"/>
        <w:rPr>
          <w:rFonts w:asciiTheme="minorHAnsi" w:hAnsiTheme="minorHAnsi" w:cs="Arial"/>
          <w:sz w:val="20"/>
          <w:szCs w:val="20"/>
        </w:rPr>
      </w:pPr>
      <w:r w:rsidRPr="00526836">
        <w:rPr>
          <w:rFonts w:asciiTheme="minorHAnsi" w:hAnsiTheme="minorHAnsi" w:cs="Arial"/>
          <w:sz w:val="20"/>
          <w:szCs w:val="20"/>
        </w:rPr>
        <w:t xml:space="preserve">Julius </w:t>
      </w:r>
      <w:proofErr w:type="spellStart"/>
      <w:r w:rsidRPr="00526836">
        <w:rPr>
          <w:rFonts w:asciiTheme="minorHAnsi" w:hAnsiTheme="minorHAnsi" w:cs="Arial"/>
          <w:sz w:val="20"/>
          <w:szCs w:val="20"/>
        </w:rPr>
        <w:t>Fichardt</w:t>
      </w:r>
      <w:proofErr w:type="spellEnd"/>
    </w:p>
    <w:p w14:paraId="0FCC05C4" w14:textId="004DFFF4" w:rsidR="00526836" w:rsidRPr="00526836" w:rsidRDefault="00526836" w:rsidP="00321EB6">
      <w:pPr>
        <w:ind w:right="605"/>
        <w:rPr>
          <w:rFonts w:asciiTheme="minorHAnsi" w:hAnsiTheme="minorHAnsi" w:cs="Arial"/>
          <w:sz w:val="20"/>
          <w:szCs w:val="20"/>
        </w:rPr>
      </w:pPr>
      <w:r w:rsidRPr="00526836">
        <w:rPr>
          <w:rFonts w:asciiTheme="minorHAnsi" w:hAnsiTheme="minorHAnsi" w:cs="Arial"/>
          <w:sz w:val="20"/>
          <w:szCs w:val="20"/>
        </w:rPr>
        <w:t>FSP: 1325</w:t>
      </w:r>
    </w:p>
    <w:p w14:paraId="1275B88C" w14:textId="77777777" w:rsidR="00526836" w:rsidRDefault="00526836" w:rsidP="00321EB6">
      <w:pPr>
        <w:ind w:right="605"/>
        <w:rPr>
          <w:rFonts w:ascii="Arial" w:hAnsi="Arial" w:cs="Arial"/>
          <w:b/>
          <w:i/>
          <w:sz w:val="20"/>
          <w:szCs w:val="20"/>
        </w:rPr>
      </w:pPr>
    </w:p>
    <w:p w14:paraId="2C4F96B7" w14:textId="6D6D3ACD"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35F002BC" w14:textId="1AE4172F" w:rsidR="00BB512B" w:rsidRPr="00BB512B" w:rsidRDefault="000F56F8" w:rsidP="00C045DD">
      <w:pPr>
        <w:spacing w:after="0" w:line="259" w:lineRule="auto"/>
        <w:ind w:left="0" w:firstLine="0"/>
        <w:jc w:val="left"/>
        <w:rPr>
          <w:rFonts w:ascii="Arial" w:eastAsia="Times New Roman" w:hAnsi="Arial" w:cs="Arial"/>
          <w:b/>
          <w:color w:val="212121"/>
          <w:sz w:val="20"/>
          <w:szCs w:val="20"/>
        </w:rPr>
      </w:pPr>
      <w:r w:rsidRPr="004D028C">
        <w:rPr>
          <w:rFonts w:ascii="Arial" w:hAnsi="Arial" w:cs="Arial"/>
          <w:sz w:val="20"/>
          <w:szCs w:val="20"/>
        </w:rPr>
        <w:t xml:space="preserve"> </w:t>
      </w:r>
      <w:bookmarkStart w:id="0" w:name="_GoBack"/>
      <w:bookmarkEnd w:id="0"/>
      <w:r w:rsidR="00BB512B"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rsidSect="00526836">
      <w:footerReference w:type="even" r:id="rId12"/>
      <w:footerReference w:type="default" r:id="rId13"/>
      <w:footerReference w:type="first" r:id="rId14"/>
      <w:pgSz w:w="11906" w:h="16841"/>
      <w:pgMar w:top="709"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4F01D" w14:textId="77777777" w:rsidR="00301CE2" w:rsidRDefault="00301CE2">
      <w:pPr>
        <w:spacing w:after="0" w:line="240" w:lineRule="auto"/>
      </w:pPr>
      <w:r>
        <w:separator/>
      </w:r>
    </w:p>
  </w:endnote>
  <w:endnote w:type="continuationSeparator" w:id="0">
    <w:p w14:paraId="12A2754B" w14:textId="77777777" w:rsidR="00301CE2" w:rsidRDefault="0030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66F93" w14:textId="77777777" w:rsidR="00301CE2" w:rsidRDefault="00301CE2">
      <w:pPr>
        <w:spacing w:after="0" w:line="240" w:lineRule="auto"/>
      </w:pPr>
      <w:r>
        <w:separator/>
      </w:r>
    </w:p>
  </w:footnote>
  <w:footnote w:type="continuationSeparator" w:id="0">
    <w:p w14:paraId="5DFB87F4" w14:textId="77777777" w:rsidR="00301CE2" w:rsidRDefault="00301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20437D"/>
    <w:rsid w:val="00214D1A"/>
    <w:rsid w:val="00220E03"/>
    <w:rsid w:val="00297B67"/>
    <w:rsid w:val="002F28CD"/>
    <w:rsid w:val="00301CE2"/>
    <w:rsid w:val="00321EB6"/>
    <w:rsid w:val="00393049"/>
    <w:rsid w:val="003C39C8"/>
    <w:rsid w:val="004765D2"/>
    <w:rsid w:val="004C4F45"/>
    <w:rsid w:val="004D028C"/>
    <w:rsid w:val="005153B0"/>
    <w:rsid w:val="00526836"/>
    <w:rsid w:val="0053139D"/>
    <w:rsid w:val="007F287A"/>
    <w:rsid w:val="00984614"/>
    <w:rsid w:val="0099050D"/>
    <w:rsid w:val="009F1B1C"/>
    <w:rsid w:val="00A22236"/>
    <w:rsid w:val="00A64BA3"/>
    <w:rsid w:val="00AC3A03"/>
    <w:rsid w:val="00BB512B"/>
    <w:rsid w:val="00BD426B"/>
    <w:rsid w:val="00C045DD"/>
    <w:rsid w:val="00C32233"/>
    <w:rsid w:val="00CB1CB9"/>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100BA-7EB3-4440-83FB-F0665109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15</cp:revision>
  <dcterms:created xsi:type="dcterms:W3CDTF">2018-01-04T09:43:00Z</dcterms:created>
  <dcterms:modified xsi:type="dcterms:W3CDTF">2018-06-11T14:25:00Z</dcterms:modified>
</cp:coreProperties>
</file>