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0223C5" w:rsidP="00FB004A">
      <w:pPr>
        <w:spacing w:after="13" w:line="240" w:lineRule="auto"/>
        <w:ind w:left="44" w:firstLine="0"/>
        <w:jc w:val="center"/>
        <w:rPr>
          <w:b/>
          <w:sz w:val="32"/>
          <w:szCs w:val="32"/>
          <w:lang w:val="af-ZA"/>
        </w:rPr>
      </w:pPr>
      <w:r>
        <w:rPr>
          <w:rFonts w:eastAsia="Times New Roman"/>
          <w:noProof/>
          <w:sz w:val="27"/>
          <w:szCs w:val="27"/>
        </w:rPr>
        <w:drawing>
          <wp:anchor distT="0" distB="0" distL="114300" distR="114300" simplePos="0" relativeHeight="251665408" behindDoc="0" locked="0" layoutInCell="1" allowOverlap="1">
            <wp:simplePos x="0" y="0"/>
            <wp:positionH relativeFrom="column">
              <wp:posOffset>52070</wp:posOffset>
            </wp:positionH>
            <wp:positionV relativeFrom="paragraph">
              <wp:posOffset>210185</wp:posOffset>
            </wp:positionV>
            <wp:extent cx="1857375" cy="810383"/>
            <wp:effectExtent l="0" t="0" r="0" b="8890"/>
            <wp:wrapNone/>
            <wp:docPr id="4" name="Picture 4"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57375" cy="810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7182"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A957A1"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4090670</wp:posOffset>
                </wp:positionH>
                <wp:positionV relativeFrom="paragraph">
                  <wp:posOffset>86360</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2.1pt;margin-top:6.8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Cuz8unoEAADWCwAADgAAAAAAAAAAAAAA&#10;AAA6AgAAZHJzL2Uyb0RvYy54bWxQSwECLQAUAAYACAAAACEAqiYOvrwAAAAhAQAAGQAAAAAAAAAA&#10;AAAAAADgBgAAZHJzL19yZWxzL2Uyb0RvYy54bWwucmVsc1BLAQItABQABgAIAAAAIQDiqSds4AAA&#10;AAoBAAAPAAAAAAAAAAAAAAAAANM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0223C5" w:rsidRDefault="000223C5" w:rsidP="00A957A1">
      <w:pPr>
        <w:spacing w:after="0"/>
        <w:rPr>
          <w:rFonts w:ascii="Segoe UI" w:hAnsi="Segoe UI" w:cs="Segoe UI"/>
          <w:b/>
          <w:sz w:val="20"/>
          <w:szCs w:val="20"/>
          <w:lang w:val="af-ZA"/>
        </w:rPr>
      </w:pPr>
    </w:p>
    <w:p w:rsidR="00A957A1" w:rsidRPr="00667E02" w:rsidRDefault="00A957A1" w:rsidP="00A957A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bookmarkStart w:id="0" w:name="_GoBack"/>
      <w:bookmarkEnd w:id="0"/>
    </w:p>
    <w:p w:rsidR="00A957A1" w:rsidRDefault="000223C5" w:rsidP="00A957A1">
      <w:pPr>
        <w:spacing w:after="0"/>
        <w:rPr>
          <w:rFonts w:ascii="Segoe UI" w:hAnsi="Segoe UI" w:cs="Segoe UI"/>
          <w:sz w:val="20"/>
          <w:szCs w:val="20"/>
          <w:lang w:val="af-ZA"/>
        </w:rPr>
      </w:pPr>
      <w:r>
        <w:rPr>
          <w:rFonts w:ascii="Segoe UI" w:hAnsi="Segoe UI" w:cs="Segoe UI"/>
          <w:sz w:val="20"/>
          <w:szCs w:val="20"/>
          <w:lang w:val="af-ZA"/>
        </w:rPr>
        <w:t>Jennifer Henning</w:t>
      </w:r>
    </w:p>
    <w:p w:rsidR="000223C5" w:rsidRPr="000223C5" w:rsidRDefault="000223C5" w:rsidP="00A957A1">
      <w:pPr>
        <w:spacing w:after="0"/>
        <w:rPr>
          <w:rFonts w:ascii="Segoe UI" w:hAnsi="Segoe UI" w:cs="Segoe UI"/>
          <w:i/>
          <w:sz w:val="20"/>
          <w:szCs w:val="20"/>
          <w:lang w:val="af-ZA"/>
        </w:rPr>
      </w:pPr>
      <w:r w:rsidRPr="000223C5">
        <w:rPr>
          <w:rFonts w:ascii="Segoe UI" w:hAnsi="Segoe UI" w:cs="Segoe UI"/>
          <w:i/>
          <w:sz w:val="20"/>
          <w:szCs w:val="20"/>
          <w:lang w:val="af-ZA"/>
        </w:rPr>
        <w:t>Onder toesig van Allan Forbes</w:t>
      </w:r>
    </w:p>
    <w:p w:rsidR="00442DDC" w:rsidRDefault="00A957A1" w:rsidP="00A957A1">
      <w:pPr>
        <w:spacing w:after="0"/>
        <w:rPr>
          <w:rFonts w:ascii="Segoe UI" w:hAnsi="Segoe UI" w:cs="Segoe UI"/>
          <w:sz w:val="20"/>
          <w:szCs w:val="20"/>
          <w:lang w:val="af-ZA"/>
        </w:rPr>
      </w:pPr>
      <w:r w:rsidRPr="00667E02">
        <w:rPr>
          <w:rFonts w:ascii="Segoe UI" w:hAnsi="Segoe UI" w:cs="Segoe UI"/>
          <w:sz w:val="20"/>
          <w:szCs w:val="20"/>
          <w:lang w:val="af-ZA"/>
        </w:rPr>
        <w:t xml:space="preserve">FSP: </w:t>
      </w:r>
      <w:r w:rsidR="000223C5">
        <w:rPr>
          <w:rFonts w:ascii="Segoe UI" w:hAnsi="Segoe UI" w:cs="Segoe UI"/>
          <w:sz w:val="20"/>
          <w:szCs w:val="20"/>
          <w:lang w:val="af-ZA"/>
        </w:rPr>
        <w:t>15415</w:t>
      </w:r>
    </w:p>
    <w:p w:rsidR="00A957A1" w:rsidRPr="00FB7182" w:rsidRDefault="00A957A1" w:rsidP="00A957A1">
      <w:pPr>
        <w:spacing w:after="0"/>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776"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843"/>
      </w:tblGrid>
      <w:tr w:rsidR="00C51434" w:rsidRPr="00FB7182" w:rsidTr="00A957A1">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843"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A957A1">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A957A1">
        <w:trPr>
          <w:trHeight w:val="2385"/>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43"/>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lastRenderedPageBreak/>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781"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842"/>
      </w:tblGrid>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lastRenderedPageBreak/>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1"/>
      <w:footerReference w:type="default" r:id="rId12"/>
      <w:footerReference w:type="first" r:id="rId13"/>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19F" w:rsidRDefault="00E5019F">
      <w:pPr>
        <w:spacing w:after="0" w:line="240" w:lineRule="auto"/>
      </w:pPr>
      <w:r>
        <w:separator/>
      </w:r>
    </w:p>
  </w:endnote>
  <w:endnote w:type="continuationSeparator" w:id="0">
    <w:p w:rsidR="00E5019F" w:rsidRDefault="00E5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19F" w:rsidRDefault="00E5019F">
      <w:pPr>
        <w:spacing w:after="0" w:line="240" w:lineRule="auto"/>
      </w:pPr>
      <w:r>
        <w:separator/>
      </w:r>
    </w:p>
  </w:footnote>
  <w:footnote w:type="continuationSeparator" w:id="0">
    <w:p w:rsidR="00E5019F" w:rsidRDefault="00E50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23C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957A1"/>
    <w:rsid w:val="00AD3CD6"/>
    <w:rsid w:val="00B160A0"/>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A20DB"/>
    <w:rsid w:val="00E0679D"/>
    <w:rsid w:val="00E30E19"/>
    <w:rsid w:val="00E312EC"/>
    <w:rsid w:val="00E5019F"/>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4438"/>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4F00.873DB98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13</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22</cp:revision>
  <cp:lastPrinted>2018-01-11T08:39:00Z</cp:lastPrinted>
  <dcterms:created xsi:type="dcterms:W3CDTF">2017-12-05T14:21:00Z</dcterms:created>
  <dcterms:modified xsi:type="dcterms:W3CDTF">2018-04-19T07:36:00Z</dcterms:modified>
</cp:coreProperties>
</file>