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6B7FCE" w:rsidP="00B00759">
      <w:pPr>
        <w:spacing w:after="0" w:line="240" w:lineRule="auto"/>
        <w:ind w:left="-686" w:firstLine="0"/>
        <w:jc w:val="left"/>
        <w:rPr>
          <w:b/>
          <w:sz w:val="32"/>
          <w:szCs w:val="32"/>
        </w:rPr>
      </w:pPr>
      <w:r>
        <w:tab/>
      </w:r>
      <w:r>
        <w:tab/>
      </w:r>
      <w:r>
        <w:tab/>
      </w:r>
      <w:r>
        <w:tab/>
      </w:r>
      <w:r w:rsidRPr="006B7FCE">
        <w:rPr>
          <w:b/>
          <w:sz w:val="32"/>
          <w:szCs w:val="32"/>
        </w:rPr>
        <w:t xml:space="preserve">Needs Analysis and Renewal Form </w:t>
      </w:r>
    </w:p>
    <w:p w:rsidR="003277A8" w:rsidRDefault="00CF17DF" w:rsidP="00B00759">
      <w:pPr>
        <w:spacing w:after="0" w:line="240" w:lineRule="auto"/>
        <w:ind w:left="173" w:firstLine="0"/>
        <w:jc w:val="left"/>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3990975</wp:posOffset>
                </wp:positionH>
                <wp:positionV relativeFrom="paragraph">
                  <wp:posOffset>8890</wp:posOffset>
                </wp:positionV>
                <wp:extent cx="1961515" cy="1606927"/>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606927"/>
                          <a:chOff x="218" y="69"/>
                          <a:chExt cx="4473" cy="262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56" y="69"/>
                            <a:ext cx="2107"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4.25pt;margin-top:.7pt;width:154.45pt;height:126.55pt;z-index:251662336;mso-width-relative:margin;mso-height-relative:margin" coordorigin="218,69" coordsize="4473,2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HeXreF4BAAA1AsAAA4AAAAAAAAAAAAAAAAA&#10;OgIAAGRycy9lMm9Eb2MueG1sUEsBAi0AFAAGAAgAAAAhAKomDr68AAAAIQEAABkAAAAAAAAAAAAA&#10;AAAA3gYAAGRycy9fcmVscy9lMm9Eb2MueG1sLnJlbHNQSwECLQAUAAYACAAAACEAQYzlouAAAAAJ&#10;AQAADwAAAAAAAAAAAAAAAADR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56;top:69;width:2107;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3360" behindDoc="0" locked="0" layoutInCell="1" allowOverlap="1" wp14:anchorId="2AAB8FC2">
            <wp:simplePos x="0" y="0"/>
            <wp:positionH relativeFrom="margin">
              <wp:posOffset>-635</wp:posOffset>
            </wp:positionH>
            <wp:positionV relativeFrom="paragraph">
              <wp:posOffset>6985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274DBF">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144F2" w:rsidRDefault="004144F2">
      <w:pPr>
        <w:ind w:right="605"/>
        <w:rPr>
          <w:rFonts w:asciiTheme="minorHAnsi" w:hAnsiTheme="minorHAnsi"/>
          <w:b/>
          <w:i/>
        </w:rPr>
      </w:pPr>
      <w:bookmarkStart w:id="0" w:name="_Hlk503511937"/>
    </w:p>
    <w:p w:rsidR="004144F2" w:rsidRPr="004144F2" w:rsidRDefault="004144F2">
      <w:pPr>
        <w:ind w:right="605"/>
        <w:rPr>
          <w:rFonts w:ascii="Arial" w:hAnsi="Arial" w:cs="Arial"/>
          <w:b/>
          <w:sz w:val="18"/>
          <w:szCs w:val="18"/>
        </w:rPr>
      </w:pPr>
      <w:r w:rsidRPr="004144F2">
        <w:rPr>
          <w:rFonts w:ascii="Arial" w:hAnsi="Arial" w:cs="Arial"/>
          <w:b/>
          <w:sz w:val="18"/>
          <w:szCs w:val="18"/>
        </w:rPr>
        <w:t>Advising Broker</w:t>
      </w:r>
    </w:p>
    <w:p w:rsidR="004144F2" w:rsidRPr="004144F2" w:rsidRDefault="003B694B">
      <w:pPr>
        <w:ind w:right="605"/>
        <w:rPr>
          <w:rFonts w:ascii="Arial" w:hAnsi="Arial" w:cs="Arial"/>
          <w:sz w:val="18"/>
          <w:szCs w:val="18"/>
        </w:rPr>
      </w:pPr>
      <w:r>
        <w:rPr>
          <w:rFonts w:ascii="Arial" w:hAnsi="Arial" w:cs="Arial"/>
          <w:sz w:val="18"/>
          <w:szCs w:val="18"/>
        </w:rPr>
        <w:t>Tilana Kolver</w:t>
      </w:r>
    </w:p>
    <w:p w:rsidR="004144F2" w:rsidRPr="004144F2" w:rsidRDefault="004144F2">
      <w:pPr>
        <w:ind w:right="605"/>
        <w:rPr>
          <w:rFonts w:ascii="Arial" w:hAnsi="Arial" w:cs="Arial"/>
          <w:sz w:val="18"/>
          <w:szCs w:val="18"/>
        </w:rPr>
      </w:pPr>
      <w:r w:rsidRPr="004144F2">
        <w:rPr>
          <w:rFonts w:ascii="Arial" w:hAnsi="Arial" w:cs="Arial"/>
          <w:sz w:val="18"/>
          <w:szCs w:val="18"/>
        </w:rPr>
        <w:t>FSP: 1325</w:t>
      </w:r>
    </w:p>
    <w:p w:rsidR="004144F2" w:rsidRDefault="004144F2">
      <w:pPr>
        <w:ind w:right="605"/>
        <w:rPr>
          <w:rFonts w:asciiTheme="minorHAnsi" w:hAnsiTheme="minorHAnsi"/>
          <w:b/>
          <w:i/>
        </w:rPr>
      </w:pPr>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4144F2"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w:t>
      </w:r>
    </w:p>
    <w:p w:rsidR="00CF17DF" w:rsidRDefault="00CF17DF" w:rsidP="005661D6">
      <w:pPr>
        <w:spacing w:after="249" w:line="259" w:lineRule="auto"/>
        <w:ind w:left="168"/>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lastRenderedPageBreak/>
        <w:t xml:space="preserve">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CF17DF"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D105E3">
      <w:pPr>
        <w:spacing w:after="247" w:line="256" w:lineRule="auto"/>
        <w:ind w:left="183" w:right="119"/>
        <w:jc w:val="left"/>
        <w:rPr>
          <w:rFonts w:asciiTheme="minorHAnsi" w:hAnsiTheme="minorHAnsi"/>
        </w:rPr>
      </w:pPr>
      <w:bookmarkStart w:id="1" w:name="_GoBack"/>
      <w:bookmarkEnd w:id="1"/>
      <w:r w:rsidRPr="00D41B01">
        <w:rPr>
          <w:rFonts w:asciiTheme="minorHAnsi" w:hAnsiTheme="minorHAnsi"/>
        </w:rPr>
        <w:t xml:space="preserve">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w:t>
            </w:r>
            <w:r w:rsidRPr="00D41B01">
              <w:rPr>
                <w:rFonts w:asciiTheme="minorHAnsi" w:hAnsiTheme="minorHAnsi"/>
              </w:rPr>
              <w:lastRenderedPageBreak/>
              <w:t xml:space="preserve">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lastRenderedPageBreak/>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w:t>
            </w:r>
            <w:r w:rsidRPr="00D41B01">
              <w:rPr>
                <w:rFonts w:asciiTheme="minorHAnsi" w:hAnsiTheme="minorHAnsi"/>
              </w:rPr>
              <w:lastRenderedPageBreak/>
              <w:t xml:space="preserve">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lastRenderedPageBreak/>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763A5D" w:rsidRPr="00D41B01" w:rsidRDefault="00274DBF" w:rsidP="004144F2">
      <w:pPr>
        <w:spacing w:after="2" w:line="259" w:lineRule="auto"/>
        <w:ind w:left="173" w:firstLine="0"/>
        <w:rPr>
          <w:rFonts w:asciiTheme="minorHAnsi" w:hAnsiTheme="minorHAnsi"/>
        </w:rPr>
      </w:pPr>
      <w:r w:rsidRPr="00D41B01">
        <w:rPr>
          <w:rFonts w:asciiTheme="minorHAnsi" w:hAnsiTheme="minorHAnsi"/>
        </w:rPr>
        <w:t xml:space="preserve"> </w:t>
      </w: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4144F2">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4144F2">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4144F2">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4144F2">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lastRenderedPageBreak/>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lastRenderedPageBreak/>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lastRenderedPageBreak/>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4144F2" w:rsidRDefault="004144F2">
      <w:pPr>
        <w:spacing w:after="0" w:line="259" w:lineRule="auto"/>
        <w:ind w:left="173" w:firstLine="0"/>
        <w:rPr>
          <w:rFonts w:asciiTheme="minorHAnsi" w:hAnsiTheme="minorHAnsi"/>
        </w:rPr>
      </w:pP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lastRenderedPageBreak/>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rsidP="004144F2">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CF17DF">
      <w:footerReference w:type="even" r:id="rId10"/>
      <w:footerReference w:type="default" r:id="rId11"/>
      <w:footerReference w:type="first" r:id="rId12"/>
      <w:pgSz w:w="11900" w:h="16840"/>
      <w:pgMar w:top="851" w:right="812" w:bottom="1449" w:left="1276"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F0A" w:rsidRDefault="00E40F0A">
      <w:pPr>
        <w:spacing w:after="0" w:line="240" w:lineRule="auto"/>
      </w:pPr>
      <w:r>
        <w:separator/>
      </w:r>
    </w:p>
  </w:endnote>
  <w:endnote w:type="continuationSeparator" w:id="0">
    <w:p w:rsidR="00E40F0A" w:rsidRDefault="00E4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3B694B">
      <w:rPr>
        <w:noProof/>
      </w:rPr>
      <w:t>14</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F0A" w:rsidRDefault="00E40F0A">
      <w:pPr>
        <w:spacing w:after="0" w:line="240" w:lineRule="auto"/>
      </w:pPr>
      <w:r>
        <w:separator/>
      </w:r>
    </w:p>
  </w:footnote>
  <w:footnote w:type="continuationSeparator" w:id="0">
    <w:p w:rsidR="00E40F0A" w:rsidRDefault="00E40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2E7FD6"/>
    <w:rsid w:val="00317C7F"/>
    <w:rsid w:val="003277A8"/>
    <w:rsid w:val="00361D5D"/>
    <w:rsid w:val="00363BA4"/>
    <w:rsid w:val="00397A54"/>
    <w:rsid w:val="003B694B"/>
    <w:rsid w:val="003E3EB8"/>
    <w:rsid w:val="004144F2"/>
    <w:rsid w:val="00437191"/>
    <w:rsid w:val="004426D4"/>
    <w:rsid w:val="00457820"/>
    <w:rsid w:val="00483355"/>
    <w:rsid w:val="005320C9"/>
    <w:rsid w:val="005661D6"/>
    <w:rsid w:val="00570A6A"/>
    <w:rsid w:val="005A4A44"/>
    <w:rsid w:val="005D13CB"/>
    <w:rsid w:val="005D1D71"/>
    <w:rsid w:val="006758DA"/>
    <w:rsid w:val="00676BA2"/>
    <w:rsid w:val="006A3FCB"/>
    <w:rsid w:val="006B77C6"/>
    <w:rsid w:val="006B7FCE"/>
    <w:rsid w:val="006C4790"/>
    <w:rsid w:val="006E4BE8"/>
    <w:rsid w:val="00701B5C"/>
    <w:rsid w:val="007206ED"/>
    <w:rsid w:val="007538BF"/>
    <w:rsid w:val="00763A5D"/>
    <w:rsid w:val="007961D3"/>
    <w:rsid w:val="007962B1"/>
    <w:rsid w:val="007E5D70"/>
    <w:rsid w:val="00917A9D"/>
    <w:rsid w:val="00A104A3"/>
    <w:rsid w:val="00AB6387"/>
    <w:rsid w:val="00AD64E0"/>
    <w:rsid w:val="00B00759"/>
    <w:rsid w:val="00B445B7"/>
    <w:rsid w:val="00B67E42"/>
    <w:rsid w:val="00B938AD"/>
    <w:rsid w:val="00BF1C50"/>
    <w:rsid w:val="00C0599C"/>
    <w:rsid w:val="00C12575"/>
    <w:rsid w:val="00C509D6"/>
    <w:rsid w:val="00C5485D"/>
    <w:rsid w:val="00C80D2B"/>
    <w:rsid w:val="00C859E3"/>
    <w:rsid w:val="00C91B0D"/>
    <w:rsid w:val="00CF17DF"/>
    <w:rsid w:val="00D105E3"/>
    <w:rsid w:val="00D34A74"/>
    <w:rsid w:val="00D41B01"/>
    <w:rsid w:val="00D46993"/>
    <w:rsid w:val="00D864F8"/>
    <w:rsid w:val="00E40F0A"/>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46FA"/>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20</cp:revision>
  <dcterms:created xsi:type="dcterms:W3CDTF">2017-12-21T12:40:00Z</dcterms:created>
  <dcterms:modified xsi:type="dcterms:W3CDTF">2018-06-11T12:31:00Z</dcterms:modified>
</cp:coreProperties>
</file>