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EE03F1" w:rsidP="0036472B">
      <w:pPr>
        <w:spacing w:after="0" w:line="259" w:lineRule="auto"/>
        <w:ind w:left="1219" w:firstLine="0"/>
        <w:jc w:val="center"/>
        <w:rPr>
          <w:b/>
          <w:sz w:val="28"/>
          <w:szCs w:val="28"/>
        </w:rPr>
      </w:pP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92710</wp:posOffset>
                </wp:positionV>
                <wp:extent cx="1819275" cy="1751330"/>
                <wp:effectExtent l="0" t="0"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751330"/>
                          <a:chOff x="-7" y="487"/>
                          <a:chExt cx="4294" cy="2420"/>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4" y="487"/>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6"/>
                            <a:ext cx="4294" cy="1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E03F1" w:rsidRDefault="00EA29FF" w:rsidP="004D1641">
                              <w:pPr>
                                <w:spacing w:after="0"/>
                                <w:ind w:left="350"/>
                                <w:jc w:val="center"/>
                                <w:rPr>
                                  <w:szCs w:val="18"/>
                                </w:rPr>
                              </w:pPr>
                              <w:r>
                                <w:rPr>
                                  <w:szCs w:val="18"/>
                                </w:rPr>
                                <w:t xml:space="preserve">  </w:t>
                              </w:r>
                              <w:r w:rsidR="00507874">
                                <w:rPr>
                                  <w:szCs w:val="18"/>
                                </w:rPr>
                                <w:t>Ryno Louw</w:t>
                              </w:r>
                            </w:p>
                            <w:p w:rsidR="00EE03F1" w:rsidRDefault="00EE03F1" w:rsidP="004D1641">
                              <w:pPr>
                                <w:spacing w:after="0"/>
                                <w:ind w:left="350"/>
                                <w:jc w:val="center"/>
                                <w:rPr>
                                  <w:szCs w:val="18"/>
                                </w:rPr>
                              </w:pPr>
                              <w:r>
                                <w:rPr>
                                  <w:szCs w:val="18"/>
                                </w:rPr>
                                <w:t xml:space="preserve">Under supervision of </w:t>
                              </w:r>
                            </w:p>
                            <w:p w:rsidR="00EA29FF" w:rsidRDefault="00D91BA8" w:rsidP="004D1641">
                              <w:pPr>
                                <w:spacing w:after="0"/>
                                <w:ind w:left="350"/>
                                <w:jc w:val="center"/>
                                <w:rPr>
                                  <w:szCs w:val="18"/>
                                </w:rPr>
                              </w:pPr>
                              <w:r>
                                <w:rPr>
                                  <w:szCs w:val="18"/>
                                </w:rPr>
                                <w:t>Hendrik</w:t>
                              </w:r>
                              <w:r w:rsidR="00EE03F1">
                                <w:rPr>
                                  <w:szCs w:val="18"/>
                                </w:rPr>
                                <w:t xml:space="preserve"> Smit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7.3pt;width:143.25pt;height:137.9pt;z-index:251672576;mso-position-horizontal-relative:margin;mso-width-relative:margin;mso-height-relative:margin" coordorigin="-7,487" coordsize="4294,2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xo+Dv3YEAADVCwAADgAAAAAAAAAAAAAAAAA6&#10;AgAAZHJzL2Uyb0RvYy54bWxQSwECLQAUAAYACAAAACEAqiYOvrwAAAAhAQAAGQAAAAAAAAAAAAAA&#10;AADcBgAAZHJzL19yZWxzL2Uyb0RvYy54bWwucmVsc1BLAQItABQABgAIAAAAIQAWhaYg4QAAAAoB&#10;AAAPAAAAAAAAAAAAAAAAAM8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54;top:487;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606;width:4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E03F1" w:rsidRDefault="00EA29FF" w:rsidP="004D1641">
                        <w:pPr>
                          <w:spacing w:after="0"/>
                          <w:ind w:left="350"/>
                          <w:jc w:val="center"/>
                          <w:rPr>
                            <w:szCs w:val="18"/>
                          </w:rPr>
                        </w:pPr>
                        <w:r>
                          <w:rPr>
                            <w:szCs w:val="18"/>
                          </w:rPr>
                          <w:t xml:space="preserve">  </w:t>
                        </w:r>
                        <w:r w:rsidR="00507874">
                          <w:rPr>
                            <w:szCs w:val="18"/>
                          </w:rPr>
                          <w:t>Ryno Louw</w:t>
                        </w:r>
                      </w:p>
                      <w:p w:rsidR="00EE03F1" w:rsidRDefault="00EE03F1" w:rsidP="004D1641">
                        <w:pPr>
                          <w:spacing w:after="0"/>
                          <w:ind w:left="350"/>
                          <w:jc w:val="center"/>
                          <w:rPr>
                            <w:szCs w:val="18"/>
                          </w:rPr>
                        </w:pPr>
                        <w:r>
                          <w:rPr>
                            <w:szCs w:val="18"/>
                          </w:rPr>
                          <w:t xml:space="preserve">Under supervision of </w:t>
                        </w:r>
                      </w:p>
                      <w:p w:rsidR="00EA29FF" w:rsidRDefault="00D91BA8" w:rsidP="004D1641">
                        <w:pPr>
                          <w:spacing w:after="0"/>
                          <w:ind w:left="350"/>
                          <w:jc w:val="center"/>
                          <w:rPr>
                            <w:szCs w:val="18"/>
                          </w:rPr>
                        </w:pPr>
                        <w:r>
                          <w:rPr>
                            <w:szCs w:val="18"/>
                          </w:rPr>
                          <w:t>Hendrik</w:t>
                        </w:r>
                        <w:r w:rsidR="00EE03F1">
                          <w:rPr>
                            <w:szCs w:val="18"/>
                          </w:rPr>
                          <w:t xml:space="preserve"> Smit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bookmarkStart w:id="1" w:name="_GoBack"/>
      <w:bookmarkEnd w:id="1"/>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r>
                                <w:t>rs</w:t>
                              </w:r>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r>
                                <w:t>ec</w:t>
                              </w:r>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r>
                                <w:t>nsu</w:t>
                              </w:r>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r>
                          <w:t>rs</w:t>
                        </w:r>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r>
                          <w:t>ec</w:t>
                        </w:r>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r>
                          <w:t>i</w:t>
                        </w:r>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r>
                          <w:t>nsu</w:t>
                        </w:r>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r>
                          <w:t>i</w:t>
                        </w:r>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r w:rsidRPr="000F73E7">
              <w:rPr>
                <w:rFonts w:asciiTheme="minorHAnsi" w:hAnsiTheme="minorHAnsi"/>
                <w:szCs w:val="18"/>
              </w:rPr>
              <w:t>R</w:t>
            </w:r>
            <w:r w:rsidR="00CB3689" w:rsidRPr="000F73E7">
              <w:rPr>
                <w:rFonts w:asciiTheme="minorHAnsi" w:hAnsiTheme="minorHAnsi"/>
                <w:szCs w:val="18"/>
              </w:rPr>
              <w:t>..</w:t>
            </w:r>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 xml:space="preserve">VING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Specialist Liability (Computer, Data, Syber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Kie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Kie,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r w:rsidR="00915444" w:rsidRPr="000F73E7">
        <w:rPr>
          <w:rFonts w:asciiTheme="minorHAnsi" w:hAnsiTheme="minorHAnsi"/>
          <w:szCs w:val="18"/>
        </w:rPr>
        <w:t xml:space="preserve">  .</w:t>
      </w:r>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966" w:rsidRDefault="00F72966">
      <w:pPr>
        <w:spacing w:after="0" w:line="240" w:lineRule="auto"/>
      </w:pPr>
      <w:r>
        <w:separator/>
      </w:r>
    </w:p>
  </w:endnote>
  <w:endnote w:type="continuationSeparator" w:id="0">
    <w:p w:rsidR="00F72966" w:rsidRDefault="00F7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507874" w:rsidRPr="00507874">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507874" w:rsidRPr="00507874">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Smit &amp; Kie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966" w:rsidRDefault="00F72966">
      <w:pPr>
        <w:spacing w:after="0" w:line="240" w:lineRule="auto"/>
      </w:pPr>
      <w:r>
        <w:separator/>
      </w:r>
    </w:p>
  </w:footnote>
  <w:footnote w:type="continuationSeparator" w:id="0">
    <w:p w:rsidR="00F72966" w:rsidRDefault="00F72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07874"/>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82A9E"/>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1BC7"/>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91BA8"/>
    <w:rsid w:val="00DA6A69"/>
    <w:rsid w:val="00DD2F35"/>
    <w:rsid w:val="00DE4B32"/>
    <w:rsid w:val="00E0479C"/>
    <w:rsid w:val="00E36A51"/>
    <w:rsid w:val="00E556D4"/>
    <w:rsid w:val="00E570EE"/>
    <w:rsid w:val="00E77515"/>
    <w:rsid w:val="00EA29FF"/>
    <w:rsid w:val="00ED33E7"/>
    <w:rsid w:val="00EE03F1"/>
    <w:rsid w:val="00F72966"/>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4643"/>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BD53-2978-4914-A59E-2D11BCAD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55</cp:revision>
  <cp:lastPrinted>2018-01-18T13:23:00Z</cp:lastPrinted>
  <dcterms:created xsi:type="dcterms:W3CDTF">2017-12-07T07:49:00Z</dcterms:created>
  <dcterms:modified xsi:type="dcterms:W3CDTF">2018-07-11T12:38:00Z</dcterms:modified>
</cp:coreProperties>
</file>