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4F6CC79D" w:rsidR="009D7E55" w:rsidRDefault="007115F4" w:rsidP="009456D8">
      <w:pPr>
        <w:jc w:val="center"/>
      </w:pPr>
      <w:bookmarkStart w:id="0" w:name="_GoBack"/>
      <w:r>
        <w:rPr>
          <w:noProof/>
          <w:lang w:eastAsia="en-ZA"/>
        </w:rPr>
        <w:drawing>
          <wp:inline distT="0" distB="0" distL="0" distR="0" wp14:anchorId="1B32A3DC" wp14:editId="00C4EFE4">
            <wp:extent cx="60388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8850" cy="1905000"/>
                    </a:xfrm>
                    <a:prstGeom prst="rect">
                      <a:avLst/>
                    </a:prstGeom>
                  </pic:spPr>
                </pic:pic>
              </a:graphicData>
            </a:graphic>
          </wp:inline>
        </w:drawing>
      </w:r>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lastRenderedPageBreak/>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8918A10" w14:textId="1F2D76E2" w:rsidR="00370EB3"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5D6BBB66" w14:textId="5B386FFF" w:rsidR="00370EB3"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090127A0" w14:textId="77777777" w:rsidR="00370EB3" w:rsidRDefault="00370EB3"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370EB3">
        <w:trPr>
          <w:trHeight w:val="555"/>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370EB3">
        <w:trPr>
          <w:trHeight w:val="408"/>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0C59EA5D" w14:textId="77777777" w:rsidR="00370EB3" w:rsidRDefault="009D7E55" w:rsidP="009D7E55">
      <w:pPr>
        <w:spacing w:line="380" w:lineRule="auto"/>
        <w:rPr>
          <w:rFonts w:ascii="Tahoma" w:hAnsi="Tahoma" w:cs="Tahoma"/>
        </w:rPr>
      </w:pPr>
      <w:r w:rsidRPr="00AF5412">
        <w:rPr>
          <w:rFonts w:ascii="Tahoma" w:hAnsi="Tahoma" w:cs="Tahoma"/>
        </w:rPr>
        <w:t>Business Hours Limitation</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2E368F80" w:rsidR="009D7E55" w:rsidRPr="00AF5412" w:rsidRDefault="009D7E55" w:rsidP="009D7E55">
            <w:pPr>
              <w:spacing w:line="259" w:lineRule="auto"/>
              <w:rPr>
                <w:rFonts w:ascii="Tahoma" w:hAnsi="Tahoma" w:cs="Tahoma"/>
              </w:rPr>
            </w:pPr>
            <w:r w:rsidRPr="00AF5412">
              <w:rPr>
                <w:rFonts w:ascii="Tahoma" w:hAnsi="Tahoma" w:cs="Tahoma"/>
              </w:rPr>
              <w:t xml:space="preserve"> </w:t>
            </w: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370EB3">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92A84">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370EB3">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92A84">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2F80E35B"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7E9EF0BF"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533A27DD" w14:textId="3D01481D" w:rsidR="00892A84"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3AE4C74"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E93B4B">
      <w:pPr>
        <w:pStyle w:val="HTMLPreformatted"/>
        <w:shd w:val="clear" w:color="auto" w:fill="FFFFFF"/>
        <w:tabs>
          <w:tab w:val="clear" w:pos="916"/>
          <w:tab w:val="clear" w:pos="1832"/>
          <w:tab w:val="clear" w:pos="2748"/>
          <w:tab w:val="clear" w:pos="3664"/>
          <w:tab w:val="left" w:pos="1276"/>
          <w:tab w:val="left" w:pos="1418"/>
        </w:tabs>
        <w:spacing w:line="360" w:lineRule="auto"/>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E93B4B">
      <w:pPr>
        <w:pStyle w:val="HTMLPreformatted"/>
        <w:shd w:val="clear" w:color="auto" w:fill="FFFFFF"/>
        <w:tabs>
          <w:tab w:val="clear" w:pos="1832"/>
          <w:tab w:val="clear" w:pos="2748"/>
          <w:tab w:val="clear" w:pos="3664"/>
          <w:tab w:val="left" w:pos="1276"/>
          <w:tab w:val="left" w:pos="1418"/>
        </w:tabs>
        <w:spacing w:line="360" w:lineRule="auto"/>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E93B4B">
      <w:pPr>
        <w:pStyle w:val="HTMLPreformatted"/>
        <w:shd w:val="clear" w:color="auto" w:fill="FFFFFF"/>
        <w:spacing w:line="360" w:lineRule="auto"/>
        <w:rPr>
          <w:rFonts w:ascii="Tahoma" w:hAnsi="Tahoma" w:cs="Tahoma"/>
          <w:color w:val="212121"/>
          <w:sz w:val="22"/>
          <w:szCs w:val="22"/>
          <w:lang w:val="en"/>
        </w:rPr>
      </w:pPr>
    </w:p>
    <w:p w14:paraId="4BAFBF57"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E93B4B">
      <w:pPr>
        <w:pStyle w:val="HTMLPreformatted"/>
        <w:shd w:val="clear" w:color="auto" w:fill="FFFFFF"/>
        <w:spacing w:line="360" w:lineRule="auto"/>
        <w:rPr>
          <w:rFonts w:ascii="Tahoma" w:hAnsi="Tahoma" w:cs="Tahoma"/>
          <w:color w:val="212121"/>
          <w:sz w:val="22"/>
          <w:szCs w:val="22"/>
          <w:lang w:val="en"/>
        </w:rPr>
      </w:pPr>
    </w:p>
    <w:p w14:paraId="72BE90EC" w14:textId="77777777" w:rsidR="00E93B4B" w:rsidRDefault="00E93B4B" w:rsidP="009D7E55">
      <w:pPr>
        <w:rPr>
          <w:rFonts w:ascii="Tahoma" w:hAnsi="Tahoma" w:cs="Tahoma"/>
          <w:b/>
          <w:sz w:val="24"/>
          <w:szCs w:val="24"/>
        </w:rPr>
      </w:pPr>
    </w:p>
    <w:p w14:paraId="13CAA998" w14:textId="77777777" w:rsidR="00E93B4B" w:rsidRDefault="00E93B4B" w:rsidP="009D7E55">
      <w:pPr>
        <w:rPr>
          <w:rFonts w:ascii="Tahoma" w:hAnsi="Tahoma" w:cs="Tahoma"/>
          <w:b/>
          <w:sz w:val="24"/>
          <w:szCs w:val="24"/>
        </w:rPr>
      </w:pPr>
    </w:p>
    <w:p w14:paraId="60D8E96F" w14:textId="77777777" w:rsidR="00E93B4B" w:rsidRDefault="00E93B4B"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370EB3">
      <w:pPr>
        <w:pStyle w:val="ListParagraph"/>
        <w:numPr>
          <w:ilvl w:val="0"/>
          <w:numId w:val="38"/>
        </w:numPr>
        <w:tabs>
          <w:tab w:val="left" w:pos="426"/>
        </w:tabs>
        <w:spacing w:after="25" w:line="36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370EB3">
      <w:pPr>
        <w:pStyle w:val="HTMLPreformatted"/>
        <w:shd w:val="clear" w:color="auto" w:fill="FFFFFF"/>
        <w:tabs>
          <w:tab w:val="left" w:pos="426"/>
        </w:tabs>
        <w:spacing w:line="360" w:lineRule="auto"/>
        <w:rPr>
          <w:rFonts w:ascii="Tahoma" w:hAnsi="Tahoma" w:cs="Tahoma"/>
          <w:sz w:val="22"/>
        </w:rPr>
      </w:pPr>
    </w:p>
    <w:p w14:paraId="5D4896A8" w14:textId="77777777" w:rsidR="009D7E55" w:rsidRPr="004F4D7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rPr>
      </w:pPr>
    </w:p>
    <w:p w14:paraId="17F747A3" w14:textId="77777777" w:rsidR="009D7E55" w:rsidRPr="00AF5412" w:rsidRDefault="009D7E55" w:rsidP="00370EB3">
      <w:pPr>
        <w:pStyle w:val="HTMLPreformatted"/>
        <w:numPr>
          <w:ilvl w:val="0"/>
          <w:numId w:val="38"/>
        </w:numPr>
        <w:shd w:val="clear" w:color="auto" w:fill="FFFFFF"/>
        <w:tabs>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370EB3">
      <w:pPr>
        <w:pStyle w:val="HTMLPreformatted"/>
        <w:shd w:val="clear" w:color="auto" w:fill="FFFFFF"/>
        <w:tabs>
          <w:tab w:val="left" w:pos="426"/>
        </w:tabs>
        <w:spacing w:line="360" w:lineRule="auto"/>
        <w:rPr>
          <w:rFonts w:ascii="Tahoma" w:hAnsi="Tahoma" w:cs="Tahoma"/>
          <w:color w:val="212121"/>
          <w:sz w:val="22"/>
          <w:szCs w:val="22"/>
        </w:rPr>
      </w:pPr>
    </w:p>
    <w:p w14:paraId="548B303F" w14:textId="77777777" w:rsidR="009D7E5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370EB3">
      <w:pPr>
        <w:pStyle w:val="ListParagraph"/>
        <w:spacing w:line="360" w:lineRule="auto"/>
        <w:rPr>
          <w:rFonts w:ascii="Tahoma" w:eastAsia="Times New Roman" w:hAnsi="Tahoma" w:cs="Tahoma"/>
          <w:color w:val="212121"/>
          <w:sz w:val="22"/>
          <w:lang w:val="en"/>
        </w:rPr>
      </w:pPr>
    </w:p>
    <w:p w14:paraId="3746689A"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370EB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p>
    <w:p w14:paraId="44A6BB01"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5F2D41ED"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4D7A0AD3" w14:textId="338D15A3"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76627B6D" w14:textId="4CD1D99D" w:rsidR="009D7E55" w:rsidRPr="00370EB3" w:rsidRDefault="009D7E55" w:rsidP="00370EB3">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xml:space="preserve">, I will notify him / her in writing. I consent to the </w:t>
      </w:r>
      <w:r w:rsidRPr="004F4D75">
        <w:rPr>
          <w:rFonts w:ascii="Tahoma" w:eastAsia="Times New Roman" w:hAnsi="Tahoma" w:cs="Tahoma"/>
          <w:color w:val="212121"/>
          <w:sz w:val="22"/>
          <w:lang w:val="en"/>
        </w:rPr>
        <w:lastRenderedPageBreak/>
        <w:t>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7C803085" w14:textId="77777777" w:rsidR="00E93B4B" w:rsidRDefault="00E93B4B"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5CD25F6B" w14:textId="77777777" w:rsidR="00E93B4B" w:rsidRDefault="00E93B4B"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0DA36484" w14:textId="77777777" w:rsidR="00E93B4B" w:rsidRDefault="00E93B4B"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4B0CE" w14:textId="77777777" w:rsidR="00D97B50" w:rsidRDefault="00D97B50" w:rsidP="009D7E55">
      <w:pPr>
        <w:spacing w:after="0" w:line="240" w:lineRule="auto"/>
      </w:pPr>
      <w:r>
        <w:separator/>
      </w:r>
    </w:p>
  </w:endnote>
  <w:endnote w:type="continuationSeparator" w:id="0">
    <w:p w14:paraId="350820B3" w14:textId="77777777" w:rsidR="00D97B50" w:rsidRDefault="00D97B50"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892A84" w:rsidRDefault="00892A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15F4">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15F4">
              <w:rPr>
                <w:b/>
                <w:bCs/>
                <w:noProof/>
              </w:rPr>
              <w:t>23</w:t>
            </w:r>
            <w:r>
              <w:rPr>
                <w:b/>
                <w:bCs/>
                <w:sz w:val="24"/>
                <w:szCs w:val="24"/>
              </w:rPr>
              <w:fldChar w:fldCharType="end"/>
            </w:r>
          </w:p>
        </w:sdtContent>
      </w:sdt>
    </w:sdtContent>
  </w:sdt>
  <w:p w14:paraId="4076D9C0" w14:textId="77777777" w:rsidR="00892A84" w:rsidRDefault="00892A84">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8DEB4" w14:textId="77777777" w:rsidR="00D97B50" w:rsidRDefault="00D97B50" w:rsidP="009D7E55">
      <w:pPr>
        <w:spacing w:after="0" w:line="240" w:lineRule="auto"/>
      </w:pPr>
      <w:r>
        <w:separator/>
      </w:r>
    </w:p>
  </w:footnote>
  <w:footnote w:type="continuationSeparator" w:id="0">
    <w:p w14:paraId="3662E7DD" w14:textId="77777777" w:rsidR="00D97B50" w:rsidRDefault="00D97B50"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3AC4"/>
    <w:rsid w:val="001B70B9"/>
    <w:rsid w:val="001D0076"/>
    <w:rsid w:val="001F7608"/>
    <w:rsid w:val="00212F8A"/>
    <w:rsid w:val="002165D1"/>
    <w:rsid w:val="00242534"/>
    <w:rsid w:val="002B701A"/>
    <w:rsid w:val="002F2E19"/>
    <w:rsid w:val="00370EB3"/>
    <w:rsid w:val="003913D7"/>
    <w:rsid w:val="00425529"/>
    <w:rsid w:val="00461D54"/>
    <w:rsid w:val="004B77F0"/>
    <w:rsid w:val="004E529F"/>
    <w:rsid w:val="004E6BAB"/>
    <w:rsid w:val="004F5C3F"/>
    <w:rsid w:val="005A3020"/>
    <w:rsid w:val="005D77BD"/>
    <w:rsid w:val="00622C83"/>
    <w:rsid w:val="006944D2"/>
    <w:rsid w:val="006956D5"/>
    <w:rsid w:val="00697E7C"/>
    <w:rsid w:val="006D408B"/>
    <w:rsid w:val="006E041B"/>
    <w:rsid w:val="006E4A1B"/>
    <w:rsid w:val="006F56AC"/>
    <w:rsid w:val="007019DF"/>
    <w:rsid w:val="00704EBB"/>
    <w:rsid w:val="00710ADF"/>
    <w:rsid w:val="007115F4"/>
    <w:rsid w:val="007469B7"/>
    <w:rsid w:val="007653BA"/>
    <w:rsid w:val="00786954"/>
    <w:rsid w:val="007F314F"/>
    <w:rsid w:val="007F7043"/>
    <w:rsid w:val="00822E2D"/>
    <w:rsid w:val="00846F3A"/>
    <w:rsid w:val="00865035"/>
    <w:rsid w:val="008827F4"/>
    <w:rsid w:val="00892A84"/>
    <w:rsid w:val="008A26D8"/>
    <w:rsid w:val="008A4AEE"/>
    <w:rsid w:val="008C4F32"/>
    <w:rsid w:val="0092122B"/>
    <w:rsid w:val="009262EF"/>
    <w:rsid w:val="009456D8"/>
    <w:rsid w:val="00950575"/>
    <w:rsid w:val="009B092E"/>
    <w:rsid w:val="009C056C"/>
    <w:rsid w:val="009D7E55"/>
    <w:rsid w:val="009E3119"/>
    <w:rsid w:val="00A171AC"/>
    <w:rsid w:val="00A41C60"/>
    <w:rsid w:val="00A54869"/>
    <w:rsid w:val="00A639F8"/>
    <w:rsid w:val="00A90429"/>
    <w:rsid w:val="00AB5912"/>
    <w:rsid w:val="00AD15B1"/>
    <w:rsid w:val="00AD3076"/>
    <w:rsid w:val="00B47925"/>
    <w:rsid w:val="00B509F2"/>
    <w:rsid w:val="00B900A0"/>
    <w:rsid w:val="00B94E08"/>
    <w:rsid w:val="00BB3A5E"/>
    <w:rsid w:val="00BB4110"/>
    <w:rsid w:val="00BC6DF8"/>
    <w:rsid w:val="00C51FB9"/>
    <w:rsid w:val="00CB0E4D"/>
    <w:rsid w:val="00CC33BD"/>
    <w:rsid w:val="00D2090C"/>
    <w:rsid w:val="00D2234A"/>
    <w:rsid w:val="00D536E2"/>
    <w:rsid w:val="00D610F1"/>
    <w:rsid w:val="00D97B50"/>
    <w:rsid w:val="00DA65E6"/>
    <w:rsid w:val="00E302BD"/>
    <w:rsid w:val="00E70563"/>
    <w:rsid w:val="00E74F2D"/>
    <w:rsid w:val="00E93B4B"/>
    <w:rsid w:val="00EB57F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23</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54</cp:revision>
  <dcterms:created xsi:type="dcterms:W3CDTF">2021-11-09T11:24:00Z</dcterms:created>
  <dcterms:modified xsi:type="dcterms:W3CDTF">2022-02-02T07:20:00Z</dcterms:modified>
</cp:coreProperties>
</file>