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2A0E93" w:rsidP="0036472B">
      <w:pPr>
        <w:spacing w:after="0" w:line="259" w:lineRule="auto"/>
        <w:ind w:left="1219" w:firstLine="0"/>
        <w:jc w:val="center"/>
        <w:rPr>
          <w:b/>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5657850</wp:posOffset>
            </wp:positionH>
            <wp:positionV relativeFrom="paragraph">
              <wp:posOffset>6985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2A0E93" w:rsidP="003E71A6">
      <w:pPr>
        <w:spacing w:after="0" w:line="259" w:lineRule="auto"/>
        <w:ind w:left="1219" w:firstLine="0"/>
        <w:jc w:val="center"/>
        <w:rPr>
          <w:sz w:val="28"/>
          <w:szCs w:val="28"/>
        </w:rPr>
      </w:pPr>
      <w:r w:rsidRPr="00384BB8">
        <w:rPr>
          <w:noProof/>
        </w:rPr>
        <w:drawing>
          <wp:anchor distT="0" distB="0" distL="114300" distR="114300" simplePos="0" relativeHeight="251679744" behindDoc="0" locked="0" layoutInCell="1" allowOverlap="1" wp14:anchorId="0799E8F6" wp14:editId="368AE655">
            <wp:simplePos x="0" y="0"/>
            <wp:positionH relativeFrom="margin">
              <wp:posOffset>1038225</wp:posOffset>
            </wp:positionH>
            <wp:positionV relativeFrom="paragraph">
              <wp:posOffset>5715</wp:posOffset>
            </wp:positionV>
            <wp:extent cx="1152525" cy="578485"/>
            <wp:effectExtent l="0" t="0" r="9525"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167" cy="5788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2A0E93" w:rsidRPr="00667E02" w:rsidRDefault="002A0E93" w:rsidP="002A0E93">
      <w:pPr>
        <w:rPr>
          <w:rFonts w:ascii="Segoe UI" w:hAnsi="Segoe UI" w:cs="Segoe UI"/>
          <w:b/>
          <w:sz w:val="20"/>
          <w:szCs w:val="20"/>
          <w:lang w:val="af-ZA"/>
        </w:rPr>
      </w:pPr>
      <w:r>
        <w:rPr>
          <w:noProof/>
        </w:rPr>
        <mc:AlternateContent>
          <mc:Choice Requires="wps">
            <w:drawing>
              <wp:anchor distT="0" distB="0" distL="114300" distR="114300" simplePos="0" relativeHeight="251675648" behindDoc="0" locked="0" layoutInCell="1" allowOverlap="1">
                <wp:simplePos x="0" y="0"/>
                <wp:positionH relativeFrom="column">
                  <wp:posOffset>4981575</wp:posOffset>
                </wp:positionH>
                <wp:positionV relativeFrom="paragraph">
                  <wp:posOffset>16510</wp:posOffset>
                </wp:positionV>
                <wp:extent cx="1961515" cy="676275"/>
                <wp:effectExtent l="0" t="0" r="6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2A0E93" w:rsidRDefault="00EA29FF" w:rsidP="004D1641">
                            <w:pPr>
                              <w:spacing w:after="0"/>
                              <w:ind w:left="10"/>
                              <w:jc w:val="center"/>
                              <w:rPr>
                                <w:b/>
                                <w:szCs w:val="18"/>
                              </w:rPr>
                            </w:pPr>
                            <w:r w:rsidRPr="002A0E93">
                              <w:rPr>
                                <w:b/>
                                <w:i/>
                                <w:szCs w:val="18"/>
                              </w:rPr>
                              <w:t xml:space="preserve">         </w:t>
                            </w:r>
                            <w:r w:rsidRPr="002A0E93">
                              <w:rPr>
                                <w:b/>
                                <w:szCs w:val="18"/>
                              </w:rPr>
                              <w:t>Administrative Broker</w:t>
                            </w:r>
                          </w:p>
                          <w:p w:rsidR="00EA29FF" w:rsidRPr="002A0E93" w:rsidRDefault="00EA29FF" w:rsidP="004D1641">
                            <w:pPr>
                              <w:spacing w:after="0"/>
                              <w:ind w:left="10"/>
                              <w:jc w:val="center"/>
                              <w:rPr>
                                <w:szCs w:val="18"/>
                              </w:rPr>
                            </w:pPr>
                            <w:r w:rsidRPr="002A0E93">
                              <w:rPr>
                                <w:szCs w:val="18"/>
                              </w:rPr>
                              <w:t xml:space="preserve">        Smit &amp; </w:t>
                            </w:r>
                            <w:proofErr w:type="spellStart"/>
                            <w:r w:rsidRPr="002A0E93">
                              <w:rPr>
                                <w:szCs w:val="18"/>
                              </w:rPr>
                              <w:t>Kie</w:t>
                            </w:r>
                            <w:proofErr w:type="spellEnd"/>
                            <w:r w:rsidRPr="002A0E93">
                              <w:rPr>
                                <w:szCs w:val="18"/>
                              </w:rPr>
                              <w:t xml:space="preserve"> Brokers</w:t>
                            </w:r>
                            <w:r w:rsidR="00546C16">
                              <w:rPr>
                                <w:szCs w:val="18"/>
                              </w:rPr>
                              <w:t xml:space="preserve"> </w:t>
                            </w:r>
                            <w:r w:rsidRPr="002A0E93">
                              <w:rPr>
                                <w:szCs w:val="18"/>
                              </w:rPr>
                              <w:t>(PTY)</w:t>
                            </w:r>
                            <w:r w:rsidR="00546C16">
                              <w:rPr>
                                <w:szCs w:val="18"/>
                              </w:rPr>
                              <w:t xml:space="preserve"> </w:t>
                            </w:r>
                            <w:r w:rsidRPr="002A0E93">
                              <w:rPr>
                                <w:szCs w:val="18"/>
                              </w:rPr>
                              <w:t>Ltd</w:t>
                            </w:r>
                          </w:p>
                          <w:p w:rsidR="00EA29FF" w:rsidRPr="002A0E93" w:rsidRDefault="00EA29FF" w:rsidP="004D1641">
                            <w:pPr>
                              <w:spacing w:after="0"/>
                              <w:ind w:left="10"/>
                              <w:jc w:val="center"/>
                              <w:rPr>
                                <w:szCs w:val="18"/>
                              </w:rPr>
                            </w:pPr>
                            <w:r w:rsidRPr="002A0E93">
                              <w:rPr>
                                <w:szCs w:val="18"/>
                              </w:rPr>
                              <w:t xml:space="preserve">   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25pt;margin-top:1.3pt;width:154.45pt;height:5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" stroked="f">
                <v:textbox>
                  <w:txbxContent>
                    <w:p w:rsidR="00EA29FF" w:rsidRPr="002A0E93" w:rsidRDefault="00EA29FF" w:rsidP="004D1641">
                      <w:pPr>
                        <w:spacing w:after="0"/>
                        <w:ind w:left="10"/>
                        <w:jc w:val="center"/>
                        <w:rPr>
                          <w:b/>
                          <w:szCs w:val="18"/>
                        </w:rPr>
                      </w:pPr>
                      <w:r w:rsidRPr="002A0E93">
                        <w:rPr>
                          <w:b/>
                          <w:i/>
                          <w:szCs w:val="18"/>
                        </w:rPr>
                        <w:t xml:space="preserve">         </w:t>
                      </w:r>
                      <w:r w:rsidRPr="002A0E93">
                        <w:rPr>
                          <w:b/>
                          <w:szCs w:val="18"/>
                        </w:rPr>
                        <w:t>Administrative Broker</w:t>
                      </w:r>
                    </w:p>
                    <w:p w:rsidR="00EA29FF" w:rsidRPr="002A0E93" w:rsidRDefault="00EA29FF" w:rsidP="004D1641">
                      <w:pPr>
                        <w:spacing w:after="0"/>
                        <w:ind w:left="10"/>
                        <w:jc w:val="center"/>
                        <w:rPr>
                          <w:szCs w:val="18"/>
                        </w:rPr>
                      </w:pPr>
                      <w:r w:rsidRPr="002A0E93">
                        <w:rPr>
                          <w:szCs w:val="18"/>
                        </w:rPr>
                        <w:t xml:space="preserve">        Smit &amp; </w:t>
                      </w:r>
                      <w:proofErr w:type="spellStart"/>
                      <w:r w:rsidRPr="002A0E93">
                        <w:rPr>
                          <w:szCs w:val="18"/>
                        </w:rPr>
                        <w:t>Kie</w:t>
                      </w:r>
                      <w:proofErr w:type="spellEnd"/>
                      <w:r w:rsidRPr="002A0E93">
                        <w:rPr>
                          <w:szCs w:val="18"/>
                        </w:rPr>
                        <w:t xml:space="preserve"> Brokers</w:t>
                      </w:r>
                      <w:r w:rsidR="00546C16">
                        <w:rPr>
                          <w:szCs w:val="18"/>
                        </w:rPr>
                        <w:t xml:space="preserve"> </w:t>
                      </w:r>
                      <w:r w:rsidRPr="002A0E93">
                        <w:rPr>
                          <w:szCs w:val="18"/>
                        </w:rPr>
                        <w:t>(PTY)</w:t>
                      </w:r>
                      <w:r w:rsidR="00546C16">
                        <w:rPr>
                          <w:szCs w:val="18"/>
                        </w:rPr>
                        <w:t xml:space="preserve"> </w:t>
                      </w:r>
                      <w:r w:rsidRPr="002A0E93">
                        <w:rPr>
                          <w:szCs w:val="18"/>
                        </w:rPr>
                        <w:t>Ltd</w:t>
                      </w:r>
                    </w:p>
                    <w:p w:rsidR="00EA29FF" w:rsidRPr="002A0E93" w:rsidRDefault="00EA29FF" w:rsidP="004D1641">
                      <w:pPr>
                        <w:spacing w:after="0"/>
                        <w:ind w:left="10"/>
                        <w:jc w:val="center"/>
                        <w:rPr>
                          <w:szCs w:val="18"/>
                        </w:rPr>
                      </w:pPr>
                      <w:r w:rsidRPr="002A0E93">
                        <w:rPr>
                          <w:szCs w:val="18"/>
                        </w:rPr>
                        <w:t xml:space="preserve">   FSP: 11184</w:t>
                      </w:r>
                    </w:p>
                  </w:txbxContent>
                </v:textbox>
              </v:shape>
            </w:pict>
          </mc:Fallback>
        </mc:AlternateContent>
      </w:r>
      <w:r w:rsidRPr="00667E02">
        <w:rPr>
          <w:rFonts w:ascii="Segoe UI" w:hAnsi="Segoe UI" w:cs="Segoe UI"/>
          <w:b/>
          <w:sz w:val="20"/>
          <w:szCs w:val="20"/>
          <w:lang w:val="af-ZA"/>
        </w:rPr>
        <w:t xml:space="preserve">MC Brokers(PTY)Ltd                     </w:t>
      </w:r>
    </w:p>
    <w:p w:rsidR="002A0E93" w:rsidRPr="00667E02" w:rsidRDefault="002A0E93" w:rsidP="002A0E93">
      <w:pPr>
        <w:rPr>
          <w:rFonts w:ascii="Segoe UI" w:hAnsi="Segoe UI" w:cs="Segoe UI"/>
          <w:sz w:val="20"/>
          <w:szCs w:val="20"/>
          <w:lang w:val="af-ZA"/>
        </w:rPr>
      </w:pPr>
      <w:proofErr w:type="spellStart"/>
      <w:r w:rsidRPr="00667E02">
        <w:rPr>
          <w:rFonts w:ascii="Segoe UI" w:hAnsi="Segoe UI" w:cs="Segoe UI"/>
          <w:b/>
          <w:sz w:val="20"/>
          <w:szCs w:val="20"/>
          <w:lang w:val="af-ZA"/>
        </w:rPr>
        <w:t>Advis</w:t>
      </w:r>
      <w:r>
        <w:rPr>
          <w:rFonts w:ascii="Segoe UI" w:hAnsi="Segoe UI" w:cs="Segoe UI"/>
          <w:b/>
          <w:sz w:val="20"/>
          <w:szCs w:val="20"/>
          <w:lang w:val="af-ZA"/>
        </w:rPr>
        <w:t>ing</w:t>
      </w:r>
      <w:proofErr w:type="spellEnd"/>
      <w:r>
        <w:rPr>
          <w:rFonts w:ascii="Segoe UI" w:hAnsi="Segoe UI" w:cs="Segoe UI"/>
          <w:b/>
          <w:sz w:val="20"/>
          <w:szCs w:val="20"/>
          <w:lang w:val="af-ZA"/>
        </w:rPr>
        <w:t xml:space="preserve"> Broker</w:t>
      </w:r>
      <w:r w:rsidRPr="00667E02">
        <w:rPr>
          <w:rFonts w:ascii="Segoe UI" w:hAnsi="Segoe UI" w:cs="Segoe UI"/>
          <w:b/>
          <w:sz w:val="20"/>
          <w:szCs w:val="20"/>
          <w:lang w:val="af-ZA"/>
        </w:rPr>
        <w:t xml:space="preserve">                     </w:t>
      </w:r>
    </w:p>
    <w:p w:rsidR="002A0E93" w:rsidRPr="00667E02" w:rsidRDefault="002A0E93" w:rsidP="002A0E93">
      <w:pPr>
        <w:rPr>
          <w:rFonts w:ascii="Segoe UI" w:hAnsi="Segoe UI" w:cs="Segoe UI"/>
          <w:sz w:val="20"/>
          <w:szCs w:val="20"/>
          <w:lang w:val="af-ZA"/>
        </w:rPr>
      </w:pPr>
      <w:r w:rsidRPr="00667E02">
        <w:rPr>
          <w:rFonts w:ascii="Segoe UI" w:hAnsi="Segoe UI" w:cs="Segoe UI"/>
          <w:sz w:val="20"/>
          <w:szCs w:val="20"/>
          <w:lang w:val="af-ZA"/>
        </w:rPr>
        <w:t>Burger Grobler</w:t>
      </w:r>
      <w:bookmarkStart w:id="0" w:name="_GoBack"/>
      <w:bookmarkEnd w:id="0"/>
    </w:p>
    <w:p w:rsidR="002A0E93" w:rsidRPr="00667E02" w:rsidRDefault="002A0E93" w:rsidP="002A0E93">
      <w:pPr>
        <w:rPr>
          <w:rFonts w:ascii="Segoe UI" w:hAnsi="Segoe UI" w:cs="Segoe UI"/>
          <w:sz w:val="20"/>
          <w:szCs w:val="20"/>
          <w:lang w:val="af-ZA"/>
        </w:rPr>
      </w:pPr>
      <w:r w:rsidRPr="00667E02">
        <w:rPr>
          <w:rFonts w:ascii="Segoe UI" w:hAnsi="Segoe UI" w:cs="Segoe UI"/>
          <w:sz w:val="20"/>
          <w:szCs w:val="20"/>
          <w:lang w:val="af-ZA"/>
        </w:rPr>
        <w:t>FSP: 44928</w:t>
      </w:r>
    </w:p>
    <w:p w:rsidR="002A0E93" w:rsidRDefault="002A0E93" w:rsidP="00D556C8">
      <w:pPr>
        <w:ind w:left="1229" w:right="605"/>
        <w:rPr>
          <w:rFonts w:ascii="Calibri" w:eastAsia="Calibri" w:hAnsi="Calibri" w:cs="Calibri"/>
          <w:b/>
          <w:i/>
          <w:sz w:val="16"/>
        </w:rPr>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Are you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Default="00D11A8E">
      <w:pPr>
        <w:spacing w:after="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2A0E93" w:rsidRDefault="002A0E93">
      <w:pPr>
        <w:spacing w:after="0" w:line="259" w:lineRule="auto"/>
        <w:ind w:left="0" w:firstLine="0"/>
        <w:rPr>
          <w:rFonts w:asciiTheme="minorHAnsi" w:hAnsiTheme="minorHAnsi"/>
          <w:szCs w:val="18"/>
        </w:rPr>
      </w:pPr>
    </w:p>
    <w:p w:rsidR="002A0E93" w:rsidRPr="000F73E7" w:rsidRDefault="002A0E93">
      <w:pPr>
        <w:spacing w:after="0" w:line="259" w:lineRule="auto"/>
        <w:ind w:left="0"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7"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">
                <v:shape id="Shape 7886" o:spid="_x0000_s1028"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29"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0"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1"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2"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3"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4"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5"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6"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37"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38"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39"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0"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1"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2"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3"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4"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5"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6"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47"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48"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49"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0"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1"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2"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3"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4"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5"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6"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57"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58"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59"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0"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1"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2"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3"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4"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5"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6"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67"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68"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69"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0"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1"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2"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3"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4"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5"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6"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77"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78"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79"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0"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1"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2"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3"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4"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5"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6"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87"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88"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89"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0"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2A0E93" w:rsidRDefault="002A0E93">
      <w:pPr>
        <w:spacing w:after="0" w:line="259" w:lineRule="auto"/>
        <w:ind w:left="1435"/>
        <w:rPr>
          <w:rFonts w:asciiTheme="minorHAnsi" w:hAnsiTheme="minorHAnsi"/>
          <w:b/>
          <w:szCs w:val="18"/>
        </w:rPr>
      </w:pPr>
    </w:p>
    <w:p w:rsidR="002A0E93" w:rsidRDefault="002A0E93">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lastRenderedPageBreak/>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BURSTING OF DAM WALLS                                                                  (INGENEERS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lastRenderedPageBreak/>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 xml:space="preserve">Permanent Disability – Such percentage of ……………..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0A3756">
        <w:rPr>
          <w:rFonts w:asciiTheme="minorHAnsi" w:hAnsiTheme="minorHAnsi" w:cs="Arial"/>
          <w:color w:val="212121"/>
          <w:sz w:val="18"/>
          <w:szCs w:val="18"/>
          <w:lang w:val="en"/>
        </w:rPr>
        <w:t xml:space="preserve"> </w:t>
      </w:r>
      <w:proofErr w:type="gramStart"/>
      <w:r w:rsidR="000A3756">
        <w:rPr>
          <w:rFonts w:asciiTheme="minorHAnsi" w:hAnsiTheme="minorHAnsi" w:cs="Arial"/>
          <w:color w:val="212121"/>
          <w:sz w:val="18"/>
          <w:szCs w:val="18"/>
          <w:lang w:val="en"/>
        </w:rPr>
        <w:t>Brokers(</w:t>
      </w:r>
      <w:proofErr w:type="gramEnd"/>
      <w:r w:rsidR="000A3756">
        <w:rPr>
          <w:rFonts w:asciiTheme="minorHAnsi" w:hAnsiTheme="minorHAnsi" w:cs="Arial"/>
          <w:color w:val="212121"/>
          <w:sz w:val="18"/>
          <w:szCs w:val="18"/>
          <w:lang w:val="en"/>
        </w:rPr>
        <w:t>Pty)Ltd</w:t>
      </w:r>
      <w:r w:rsidR="00955457" w:rsidRPr="000F73E7">
        <w:rPr>
          <w:rFonts w:asciiTheme="minorHAnsi" w:hAnsiTheme="minorHAnsi" w:cs="Arial"/>
          <w:color w:val="212121"/>
          <w:sz w:val="18"/>
          <w:szCs w:val="18"/>
          <w:lang w:val="en"/>
        </w:rPr>
        <w:t xml:space="preserve"> in terms of section </w:t>
      </w:r>
      <w:r w:rsidR="00546C16">
        <w:rPr>
          <w:rFonts w:asciiTheme="minorHAnsi" w:hAnsiTheme="minorHAnsi" w:cs="Arial"/>
          <w:color w:val="212121"/>
          <w:sz w:val="18"/>
          <w:szCs w:val="18"/>
          <w:lang w:val="en"/>
        </w:rPr>
        <w:t>12.4.2</w:t>
      </w:r>
      <w:r w:rsidR="00955457" w:rsidRPr="000F73E7">
        <w:rPr>
          <w:rFonts w:asciiTheme="minorHAnsi" w:hAnsiTheme="minorHAnsi" w:cs="Arial"/>
          <w:color w:val="212121"/>
          <w:sz w:val="18"/>
          <w:szCs w:val="18"/>
          <w:lang w:val="en"/>
        </w:rPr>
        <w:t xml:space="preserve">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personal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000A3756">
        <w:rPr>
          <w:rFonts w:asciiTheme="minorHAnsi" w:eastAsia="Times New Roman" w:hAnsiTheme="minorHAnsi"/>
          <w:color w:val="212121"/>
          <w:szCs w:val="18"/>
          <w:lang w:val="en"/>
        </w:rPr>
        <w:t xml:space="preserve"> </w:t>
      </w:r>
      <w:proofErr w:type="gramStart"/>
      <w:r w:rsidR="000A3756">
        <w:rPr>
          <w:rFonts w:asciiTheme="minorHAnsi" w:eastAsia="Times New Roman" w:hAnsiTheme="minorHAnsi"/>
          <w:color w:val="212121"/>
          <w:szCs w:val="18"/>
          <w:lang w:val="en"/>
        </w:rPr>
        <w:t>Brokers(</w:t>
      </w:r>
      <w:proofErr w:type="gramEnd"/>
      <w:r w:rsidR="000A3756">
        <w:rPr>
          <w:rFonts w:asciiTheme="minorHAnsi" w:eastAsia="Times New Roman" w:hAnsiTheme="minorHAnsi"/>
          <w:color w:val="212121"/>
          <w:szCs w:val="18"/>
          <w:lang w:val="en"/>
        </w:rPr>
        <w:t>Pty)Ltd</w:t>
      </w:r>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rsidSect="002A0E93">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A38" w:rsidRDefault="00163A38">
      <w:pPr>
        <w:spacing w:after="0" w:line="240" w:lineRule="auto"/>
      </w:pPr>
      <w:r>
        <w:separator/>
      </w:r>
    </w:p>
  </w:endnote>
  <w:endnote w:type="continuationSeparator" w:id="0">
    <w:p w:rsidR="00163A38" w:rsidRDefault="00163A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rsidP="00546C16">
    <w:pPr>
      <w:spacing w:after="0" w:line="259" w:lineRule="auto"/>
    </w:pPr>
    <w:r>
      <w:rPr>
        <w:sz w:val="20"/>
      </w:rPr>
      <w:t xml:space="preserve">Page </w:t>
    </w:r>
    <w:r>
      <w:fldChar w:fldCharType="begin"/>
    </w:r>
    <w:r>
      <w:instrText xml:space="preserve"> PAGE   \* MERGEFORMAT </w:instrText>
    </w:r>
    <w:r>
      <w:fldChar w:fldCharType="separate"/>
    </w:r>
    <w:r w:rsidR="00546C16" w:rsidRPr="00546C16">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r>
    <w:r w:rsidR="00546C16">
      <w:t xml:space="preserve">                        </w:t>
    </w:r>
    <w:r>
      <w:t>SMIT &amp; KIE BROKERS</w:t>
    </w:r>
    <w:r w:rsidR="00546C16">
      <w:t xml:space="preserve"> </w:t>
    </w:r>
    <w:r>
      <w:t>(PTY)</w:t>
    </w:r>
    <w:r w:rsidR="00546C16">
      <w:t xml:space="preserve"> </w:t>
    </w:r>
    <w:r>
      <w:t xml:space="preserve">Ltd                            </w:t>
    </w:r>
    <w:r w:rsidR="00546C16">
      <w:t xml:space="preserve">               </w:t>
    </w:r>
    <w:r>
      <w:t xml:space="preserve"> </w:t>
    </w:r>
    <w:r w:rsidR="00546C16">
      <w:t>05/2019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546C16" w:rsidRPr="00546C16">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A38" w:rsidRDefault="00163A38">
      <w:pPr>
        <w:spacing w:after="0" w:line="240" w:lineRule="auto"/>
      </w:pPr>
      <w:r>
        <w:separator/>
      </w:r>
    </w:p>
  </w:footnote>
  <w:footnote w:type="continuationSeparator" w:id="0">
    <w:p w:rsidR="00163A38" w:rsidRDefault="00163A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A3756"/>
    <w:rsid w:val="000B7BEE"/>
    <w:rsid w:val="000C046A"/>
    <w:rsid w:val="000C5970"/>
    <w:rsid w:val="000C5DB7"/>
    <w:rsid w:val="000C6263"/>
    <w:rsid w:val="000F73E7"/>
    <w:rsid w:val="00127266"/>
    <w:rsid w:val="0013703D"/>
    <w:rsid w:val="00144096"/>
    <w:rsid w:val="00163A38"/>
    <w:rsid w:val="00171855"/>
    <w:rsid w:val="001737A1"/>
    <w:rsid w:val="001A318F"/>
    <w:rsid w:val="001D07E6"/>
    <w:rsid w:val="001D1815"/>
    <w:rsid w:val="001E55BE"/>
    <w:rsid w:val="001F633B"/>
    <w:rsid w:val="0020458C"/>
    <w:rsid w:val="002151EF"/>
    <w:rsid w:val="00240BC7"/>
    <w:rsid w:val="00255568"/>
    <w:rsid w:val="002776A7"/>
    <w:rsid w:val="002A0E93"/>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46C16"/>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A3D64"/>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663BA"/>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F25B3"/>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166D1-8084-4D36-BF95-1EF350BB5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1511</TotalTime>
  <Pages>19</Pages>
  <Words>5588</Words>
  <Characters>31854</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55</cp:revision>
  <cp:lastPrinted>2018-01-18T13:23:00Z</cp:lastPrinted>
  <dcterms:created xsi:type="dcterms:W3CDTF">2017-12-07T07:49:00Z</dcterms:created>
  <dcterms:modified xsi:type="dcterms:W3CDTF">2019-06-27T08:24:00Z</dcterms:modified>
</cp:coreProperties>
</file>