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A883" w14:textId="77777777" w:rsidR="00F72645" w:rsidRDefault="00F72645" w:rsidP="00F72645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bookmarkStart w:id="0" w:name="_Toc4571887"/>
    </w:p>
    <w:p w14:paraId="372CF453" w14:textId="77777777" w:rsidR="002A5555" w:rsidRDefault="002A5555" w:rsidP="002A5555">
      <w:pPr>
        <w:pStyle w:val="Heading1"/>
        <w:numPr>
          <w:ilvl w:val="0"/>
          <w:numId w:val="0"/>
        </w:numPr>
        <w:tabs>
          <w:tab w:val="left" w:pos="8730"/>
        </w:tabs>
        <w:ind w:left="360" w:right="90"/>
        <w:jc w:val="center"/>
        <w:rPr>
          <w:color w:val="000000" w:themeColor="text1"/>
        </w:rPr>
      </w:pPr>
    </w:p>
    <w:p w14:paraId="7F02E23C" w14:textId="77777777" w:rsidR="009F09F2" w:rsidRPr="00E70AD8" w:rsidRDefault="009F09F2" w:rsidP="009F09F2">
      <w:pPr>
        <w:pStyle w:val="Heading1"/>
        <w:numPr>
          <w:ilvl w:val="0"/>
          <w:numId w:val="0"/>
        </w:numPr>
        <w:ind w:left="357" w:right="0"/>
        <w:jc w:val="center"/>
        <w:rPr>
          <w:color w:val="000000" w:themeColor="text1"/>
        </w:rPr>
      </w:pPr>
      <w:bookmarkStart w:id="1" w:name="_GoBack"/>
      <w:r w:rsidRPr="00E70AD8">
        <w:rPr>
          <w:color w:val="000000" w:themeColor="text1"/>
        </w:rPr>
        <w:t>Glossary</w:t>
      </w:r>
    </w:p>
    <w:bookmarkEnd w:id="1"/>
    <w:p w14:paraId="2CAE0246" w14:textId="77777777" w:rsidR="009F09F2" w:rsidRPr="00E70AD8" w:rsidRDefault="009F09F2" w:rsidP="009F09F2">
      <w:pPr>
        <w:spacing w:after="0" w:line="240" w:lineRule="auto"/>
        <w:rPr>
          <w:rFonts w:ascii="Calibri" w:hAnsi="Calibri"/>
          <w:color w:val="000000" w:themeColor="text1"/>
        </w:rPr>
      </w:pPr>
    </w:p>
    <w:p w14:paraId="2A99EF41" w14:textId="77777777" w:rsidR="009F09F2" w:rsidRPr="00E70AD8" w:rsidRDefault="009F09F2" w:rsidP="009F09F2">
      <w:pPr>
        <w:spacing w:after="0" w:line="240" w:lineRule="auto"/>
        <w:rPr>
          <w:rFonts w:ascii="Calibri" w:hAnsi="Calibri"/>
          <w:color w:val="000000" w:themeColor="text1"/>
        </w:rPr>
      </w:pPr>
    </w:p>
    <w:p w14:paraId="6E7C5073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Abbreviations</w:t>
      </w:r>
    </w:p>
    <w:p w14:paraId="322742B1" w14:textId="77777777" w:rsidR="009F09F2" w:rsidRPr="00E70AD8" w:rsidRDefault="009F09F2" w:rsidP="009F09F2">
      <w:pPr>
        <w:spacing w:after="0" w:line="240" w:lineRule="auto"/>
        <w:rPr>
          <w:rFonts w:cs="Arial"/>
          <w:b/>
          <w:color w:val="000000" w:themeColor="text1"/>
        </w:rPr>
      </w:pPr>
    </w:p>
    <w:p w14:paraId="27363DF8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AI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Accountable Institution</w:t>
      </w:r>
    </w:p>
    <w:p w14:paraId="66F41960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AML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Anti Money Laundering</w:t>
      </w:r>
    </w:p>
    <w:p w14:paraId="3D7E6040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BN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Board Notice</w:t>
      </w:r>
    </w:p>
    <w:p w14:paraId="343F5210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CDD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Customer Due Diligence</w:t>
      </w:r>
    </w:p>
    <w:p w14:paraId="7C3C0F58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CFT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Combating the Financing of Terrorism</w:t>
      </w:r>
    </w:p>
    <w:p w14:paraId="27259383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CTR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Cash Threshold Report</w:t>
      </w:r>
    </w:p>
    <w:p w14:paraId="6798DBD5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DPIP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Domestic Prominent Influential Person</w:t>
      </w:r>
    </w:p>
    <w:p w14:paraId="6E367303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FIC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Financial Intelligence Centre</w:t>
      </w:r>
    </w:p>
    <w:p w14:paraId="39E724DD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FPPO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Foreign Prominent Public Officials</w:t>
      </w:r>
    </w:p>
    <w:p w14:paraId="737E05FA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FSCA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Financial Sector Conduct Authority</w:t>
      </w:r>
    </w:p>
    <w:p w14:paraId="44B843E7" w14:textId="77777777" w:rsidR="009F09F2" w:rsidRPr="00E70AD8" w:rsidRDefault="009F09F2" w:rsidP="009F09F2">
      <w:pPr>
        <w:spacing w:after="0" w:line="240" w:lineRule="auto"/>
        <w:ind w:left="1418" w:hanging="1418"/>
        <w:rPr>
          <w:rFonts w:cs="Arial"/>
          <w:color w:val="000000" w:themeColor="text1"/>
        </w:rPr>
      </w:pPr>
      <w:proofErr w:type="spellStart"/>
      <w:proofErr w:type="gramStart"/>
      <w:r w:rsidRPr="00E70AD8">
        <w:rPr>
          <w:rFonts w:cs="Arial"/>
          <w:color w:val="000000" w:themeColor="text1"/>
        </w:rPr>
        <w:t>goAML</w:t>
      </w:r>
      <w:proofErr w:type="spellEnd"/>
      <w:proofErr w:type="gramEnd"/>
      <w:r w:rsidRPr="00E70AD8">
        <w:rPr>
          <w:rFonts w:cs="Arial"/>
          <w:color w:val="000000" w:themeColor="text1"/>
        </w:rPr>
        <w:tab/>
        <w:t>An integrated software solution developed for use by Financial Intelligence Units</w:t>
      </w:r>
    </w:p>
    <w:p w14:paraId="6C11C6F6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ML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Money Laundering</w:t>
      </w:r>
    </w:p>
    <w:p w14:paraId="010AC79A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MLTFC</w:t>
      </w:r>
      <w:r w:rsidRPr="00E70AD8">
        <w:rPr>
          <w:rFonts w:cs="Arial"/>
          <w:color w:val="000000" w:themeColor="text1"/>
        </w:rPr>
        <w:tab/>
        <w:t>Money Laundering and Terrorist Financing Control Regulations</w:t>
      </w:r>
    </w:p>
    <w:p w14:paraId="159818B8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RMCP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Risk Management and Compliance Programme</w:t>
      </w:r>
    </w:p>
    <w:p w14:paraId="06F9000C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STR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Suspicious and Unusual Transactions</w:t>
      </w:r>
    </w:p>
    <w:p w14:paraId="198389FE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TF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Terrorist Financing</w:t>
      </w:r>
    </w:p>
    <w:p w14:paraId="665184E3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UN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United Nations</w:t>
      </w:r>
    </w:p>
    <w:p w14:paraId="6063F615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UNSC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United Nations Security Council</w:t>
      </w:r>
    </w:p>
    <w:p w14:paraId="75E45E4A" w14:textId="77777777" w:rsidR="009F09F2" w:rsidRPr="00E70AD8" w:rsidRDefault="009F09F2" w:rsidP="009F09F2">
      <w:pPr>
        <w:spacing w:after="0" w:line="240" w:lineRule="auto"/>
        <w:rPr>
          <w:rFonts w:ascii="Calibri" w:hAnsi="Calibri"/>
          <w:color w:val="000000" w:themeColor="text1"/>
        </w:rPr>
      </w:pPr>
    </w:p>
    <w:p w14:paraId="550234D8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Legislation</w:t>
      </w:r>
    </w:p>
    <w:p w14:paraId="50B214F7" w14:textId="77777777" w:rsidR="009F09F2" w:rsidRPr="00E70AD8" w:rsidRDefault="009F09F2" w:rsidP="009F09F2">
      <w:pPr>
        <w:spacing w:after="0" w:line="240" w:lineRule="auto"/>
        <w:rPr>
          <w:rFonts w:ascii="Calibri" w:hAnsi="Calibri"/>
          <w:b/>
          <w:color w:val="000000" w:themeColor="text1"/>
        </w:rPr>
      </w:pPr>
    </w:p>
    <w:p w14:paraId="5ADB210B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FAIS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Financial and Intermediary Services Act, 37 of 2004</w:t>
      </w:r>
    </w:p>
    <w:p w14:paraId="238F909E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FICA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Financial Intelligence Centre Act, 38 of 2001</w:t>
      </w:r>
    </w:p>
    <w:p w14:paraId="55ABCD45" w14:textId="77777777" w:rsidR="009F09F2" w:rsidRPr="00E70AD8" w:rsidRDefault="009F09F2" w:rsidP="009F09F2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POCA</w:t>
      </w:r>
      <w:r w:rsidRPr="00E70AD8">
        <w:rPr>
          <w:rFonts w:cs="Arial"/>
          <w:color w:val="000000" w:themeColor="text1"/>
        </w:rPr>
        <w:tab/>
      </w:r>
      <w:r w:rsidRPr="00E70AD8">
        <w:rPr>
          <w:rFonts w:cs="Arial"/>
          <w:color w:val="000000" w:themeColor="text1"/>
        </w:rPr>
        <w:tab/>
        <w:t>Prevention of Organised Crime Act, 121 of 1998</w:t>
      </w:r>
    </w:p>
    <w:p w14:paraId="3AEEC208" w14:textId="77777777" w:rsidR="009F09F2" w:rsidRPr="00E70AD8" w:rsidRDefault="009F09F2" w:rsidP="009F09F2">
      <w:pPr>
        <w:spacing w:after="0" w:line="240" w:lineRule="auto"/>
        <w:ind w:left="1418" w:hanging="1418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t>POCDATARA</w:t>
      </w:r>
      <w:r w:rsidRPr="00E70AD8">
        <w:rPr>
          <w:rFonts w:cs="Arial"/>
          <w:color w:val="000000" w:themeColor="text1"/>
        </w:rPr>
        <w:tab/>
        <w:t xml:space="preserve">Protection of Constitutional Democracy </w:t>
      </w:r>
      <w:proofErr w:type="gramStart"/>
      <w:r w:rsidRPr="00E70AD8">
        <w:rPr>
          <w:rFonts w:cs="Arial"/>
          <w:color w:val="000000" w:themeColor="text1"/>
        </w:rPr>
        <w:t>Against</w:t>
      </w:r>
      <w:proofErr w:type="gramEnd"/>
      <w:r w:rsidRPr="00E70AD8">
        <w:rPr>
          <w:rFonts w:cs="Arial"/>
          <w:color w:val="000000" w:themeColor="text1"/>
        </w:rPr>
        <w:t xml:space="preserve"> Terrorism and Related Activities, 33 of 2004</w:t>
      </w:r>
      <w:bookmarkEnd w:id="0"/>
    </w:p>
    <w:sectPr w:rsidR="009F09F2" w:rsidRPr="00E70AD8" w:rsidSect="00F72645">
      <w:headerReference w:type="first" r:id="rId7"/>
      <w:footerReference w:type="first" r:id="rId8"/>
      <w:pgSz w:w="11906" w:h="16838"/>
      <w:pgMar w:top="1120" w:right="1440" w:bottom="1440" w:left="1440" w:header="99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4AC7" w14:textId="77777777" w:rsidR="00BC250E" w:rsidRDefault="00BC250E" w:rsidP="007D43A7">
      <w:pPr>
        <w:spacing w:after="0" w:line="240" w:lineRule="auto"/>
      </w:pPr>
      <w:r>
        <w:separator/>
      </w:r>
    </w:p>
  </w:endnote>
  <w:endnote w:type="continuationSeparator" w:id="0">
    <w:p w14:paraId="238942D8" w14:textId="77777777" w:rsidR="00BC250E" w:rsidRDefault="00BC250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DD97" w14:textId="77777777" w:rsidR="00BC250E" w:rsidRDefault="00BC250E" w:rsidP="007D43A7">
      <w:pPr>
        <w:spacing w:after="0" w:line="240" w:lineRule="auto"/>
      </w:pPr>
      <w:r>
        <w:separator/>
      </w:r>
    </w:p>
  </w:footnote>
  <w:footnote w:type="continuationSeparator" w:id="0">
    <w:p w14:paraId="16647EC8" w14:textId="77777777" w:rsidR="00BC250E" w:rsidRDefault="00BC250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61DDE"/>
    <w:rsid w:val="00077CB2"/>
    <w:rsid w:val="000C49A3"/>
    <w:rsid w:val="000C56BF"/>
    <w:rsid w:val="001012D0"/>
    <w:rsid w:val="0011762C"/>
    <w:rsid w:val="002A5555"/>
    <w:rsid w:val="002F4E83"/>
    <w:rsid w:val="003A4868"/>
    <w:rsid w:val="00445E60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8E2D93"/>
    <w:rsid w:val="00984EE3"/>
    <w:rsid w:val="00990025"/>
    <w:rsid w:val="00990622"/>
    <w:rsid w:val="009F09F2"/>
    <w:rsid w:val="00A42697"/>
    <w:rsid w:val="00B01FD8"/>
    <w:rsid w:val="00B07395"/>
    <w:rsid w:val="00B22352"/>
    <w:rsid w:val="00BC250E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373C8"/>
    <w:rsid w:val="00F72645"/>
    <w:rsid w:val="00FB0233"/>
    <w:rsid w:val="00FD7C8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  <w:style w:type="paragraph" w:customStyle="1" w:styleId="TablebulletNix0">
    <w:name w:val="Table bullet Nix"/>
    <w:basedOn w:val="ListParagraph"/>
    <w:link w:val="TablebulletNixChar"/>
    <w:rsid w:val="00F72645"/>
    <w:pPr>
      <w:numPr>
        <w:numId w:val="5"/>
      </w:numPr>
      <w:spacing w:after="0" w:line="240" w:lineRule="auto"/>
      <w:ind w:left="271" w:hanging="270"/>
    </w:pPr>
    <w:rPr>
      <w:rFonts w:ascii="Calibri" w:eastAsia="Calibri" w:hAnsi="Calibri" w:cs="Calibri"/>
      <w:color w:val="484848"/>
      <w:sz w:val="16"/>
      <w:szCs w:val="20"/>
      <w:lang w:val="en-US"/>
    </w:rPr>
  </w:style>
  <w:style w:type="character" w:customStyle="1" w:styleId="TablebulletNixChar">
    <w:name w:val="Table bullet Nix Char"/>
    <w:basedOn w:val="DefaultParagraphFont"/>
    <w:link w:val="TablebulletNix0"/>
    <w:rsid w:val="00F72645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F72645"/>
    <w:pPr>
      <w:numPr>
        <w:numId w:val="6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  <w:lang w:val="en-US"/>
    </w:rPr>
  </w:style>
  <w:style w:type="character" w:customStyle="1" w:styleId="TableBulletNixChar0">
    <w:name w:val="Table Bullet Nix Char"/>
    <w:basedOn w:val="DefaultParagraphFont"/>
    <w:link w:val="TableBulletNix"/>
    <w:rsid w:val="00F72645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7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2020-02-10T13:53:00Z</dcterms:created>
  <dcterms:modified xsi:type="dcterms:W3CDTF">2020-02-10T13:53:00Z</dcterms:modified>
</cp:coreProperties>
</file>