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DBBD" w14:textId="77777777" w:rsidR="00D10E41" w:rsidRPr="00E70AD8" w:rsidRDefault="00D10E41" w:rsidP="00D10E41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r w:rsidRPr="00E70AD8">
        <w:rPr>
          <w:color w:val="000000" w:themeColor="text1"/>
        </w:rPr>
        <w:t>Indicators of Suspicious and Unusual Transactions</w:t>
      </w:r>
    </w:p>
    <w:p w14:paraId="7752AEFC" w14:textId="77777777" w:rsidR="00D10E41" w:rsidRPr="00E70AD8" w:rsidRDefault="00D10E41" w:rsidP="00D10E41">
      <w:pPr>
        <w:pStyle w:val="NNInstruction"/>
        <w:rPr>
          <w:color w:val="000000" w:themeColor="text1"/>
        </w:rPr>
      </w:pPr>
      <w:r w:rsidRPr="00E70AD8">
        <w:rPr>
          <w:color w:val="000000" w:themeColor="text1"/>
        </w:rPr>
        <w:t xml:space="preserve">Indicators of Suspicious and Unusual Business: </w:t>
      </w:r>
    </w:p>
    <w:p w14:paraId="3A0FE4C5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The c</w:t>
      </w:r>
      <w:bookmarkStart w:id="0" w:name="_GoBack"/>
      <w:bookmarkEnd w:id="0"/>
      <w:r w:rsidRPr="00E70AD8">
        <w:rPr>
          <w:i w:val="0"/>
          <w:color w:val="000000" w:themeColor="text1"/>
        </w:rPr>
        <w:t>lient makes deposits of funds with a request for their immediate transfer elsewhere;</w:t>
      </w:r>
    </w:p>
    <w:p w14:paraId="0EC830B6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Unwarranted and unexplained international transfers;</w:t>
      </w:r>
    </w:p>
    <w:p w14:paraId="3101731C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The payment of commission or fees that appear excessive in relation to those normally payable;</w:t>
      </w:r>
    </w:p>
    <w:p w14:paraId="1FA9CD78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Lack of concern about high commissions, fees, penalties etc. incurred as a result of a particular type or method of transaction;</w:t>
      </w:r>
    </w:p>
    <w:p w14:paraId="503C3555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Transactions do not appear to be in keeping with normal industry practices;</w:t>
      </w:r>
    </w:p>
    <w:p w14:paraId="30D6D552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Purchase of commodities at prices significantly above or below market prices;</w:t>
      </w:r>
    </w:p>
    <w:p w14:paraId="3CC283A8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Unnecessarily complex transactions;</w:t>
      </w:r>
    </w:p>
    <w:p w14:paraId="0D4187D8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Unwarranted involvement of structures such as trusts and corporate vehicles in transactions;</w:t>
      </w:r>
    </w:p>
    <w:p w14:paraId="26052BB5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transaction seems to be unusually large or otherwise inconsistent with the customer’s financial standing or usual pattern of activities;</w:t>
      </w:r>
    </w:p>
    <w:p w14:paraId="2F6A881C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Buying or selling securities with no apparent concern for making profit or avoiding loss;</w:t>
      </w:r>
    </w:p>
    <w:p w14:paraId="24F46D58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Unwarranted desire to involve entities in foreign jurisdictions in transactions;</w:t>
      </w:r>
    </w:p>
    <w:p w14:paraId="50139445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attempts to convince employee not to complete any documentation required for the transaction;</w:t>
      </w:r>
    </w:p>
    <w:p w14:paraId="1A2C09F7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makes inquiries that would indicate a desire to avoid reporting;</w:t>
      </w:r>
    </w:p>
    <w:p w14:paraId="2686F59D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has unusual knowledge of the law in relation to suspicious transaction reporting;</w:t>
      </w:r>
    </w:p>
    <w:p w14:paraId="22895A4F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seems very conversant with money laundering or terrorist activity financing issues;</w:t>
      </w:r>
    </w:p>
    <w:p w14:paraId="0A5A4D1D" w14:textId="77777777" w:rsidR="00D10E41" w:rsidRPr="00E70AD8" w:rsidRDefault="00D10E41" w:rsidP="00D10E41">
      <w:pPr>
        <w:pStyle w:val="NixNormal"/>
        <w:numPr>
          <w:ilvl w:val="0"/>
          <w:numId w:val="2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is quick to volunteer that funds are clean or not being laundered.</w:t>
      </w:r>
    </w:p>
    <w:p w14:paraId="454CFECB" w14:textId="77777777" w:rsidR="00D10E41" w:rsidRPr="00E70AD8" w:rsidRDefault="00D10E41" w:rsidP="00D10E41">
      <w:pPr>
        <w:pStyle w:val="NNInstruction"/>
        <w:rPr>
          <w:color w:val="000000" w:themeColor="text1"/>
        </w:rPr>
      </w:pPr>
      <w:r w:rsidRPr="00E70AD8">
        <w:rPr>
          <w:color w:val="000000" w:themeColor="text1"/>
        </w:rPr>
        <w:t>Indicators in terms of Client Identification:</w:t>
      </w:r>
    </w:p>
    <w:p w14:paraId="35D7807F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The use of seemingly false identity in connection with any transaction, including the use of aliases and a variety of similar but different addresses and, in particular, the opening or operating of a false name account;</w:t>
      </w:r>
    </w:p>
    <w:p w14:paraId="27695E4E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lastRenderedPageBreak/>
        <w:t>Opening accounts using false of fictitious documents;</w:t>
      </w:r>
    </w:p>
    <w:p w14:paraId="1053ABD5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provides doubtful or vague identification information;</w:t>
      </w:r>
    </w:p>
    <w:p w14:paraId="74F3C784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refuses to produce personal identification documents;</w:t>
      </w:r>
    </w:p>
    <w:p w14:paraId="473A1B8C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changes a transaction after learning that he must provide a form of identification;</w:t>
      </w:r>
    </w:p>
    <w:p w14:paraId="1B3FA8CC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only submits copies of personal identification documents;</w:t>
      </w:r>
    </w:p>
    <w:p w14:paraId="743B52E7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wants to establish identity using something other than his or her personal identification documents;</w:t>
      </w:r>
    </w:p>
    <w:p w14:paraId="22E85BFC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client’s supporting documentation lacks important details such as contact particulars;</w:t>
      </w:r>
    </w:p>
    <w:p w14:paraId="471D93F6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Client does not want correspondence sent to his/her home address.</w:t>
      </w:r>
    </w:p>
    <w:p w14:paraId="54C20DCC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inordinately delays presenting corporate documents; or</w:t>
      </w:r>
    </w:p>
    <w:p w14:paraId="33982540" w14:textId="77777777" w:rsidR="00D10E41" w:rsidRPr="00E70AD8" w:rsidRDefault="00D10E41" w:rsidP="00D10E41">
      <w:pPr>
        <w:pStyle w:val="NixNormal"/>
        <w:numPr>
          <w:ilvl w:val="0"/>
          <w:numId w:val="3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All identification presented by the client is foreign or cannot be checked for some reason.</w:t>
      </w:r>
    </w:p>
    <w:p w14:paraId="6ED9CF6E" w14:textId="77777777" w:rsidR="00D10E41" w:rsidRPr="00E70AD8" w:rsidRDefault="00D10E41" w:rsidP="00D10E41">
      <w:pPr>
        <w:pStyle w:val="NNInstruction"/>
        <w:rPr>
          <w:color w:val="000000" w:themeColor="text1"/>
        </w:rPr>
      </w:pPr>
      <w:r w:rsidRPr="00E70AD8">
        <w:rPr>
          <w:color w:val="000000" w:themeColor="text1"/>
        </w:rPr>
        <w:t>General Indicators of Suspicious Behaviour:</w:t>
      </w:r>
    </w:p>
    <w:p w14:paraId="34F79E3B" w14:textId="77777777" w:rsidR="00D10E41" w:rsidRPr="00E70AD8" w:rsidRDefault="00D10E41" w:rsidP="00D10E41">
      <w:pPr>
        <w:pStyle w:val="NixNormal"/>
        <w:numPr>
          <w:ilvl w:val="0"/>
          <w:numId w:val="4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client provides insufficient, vague or suspicious information concerning a transaction;</w:t>
      </w:r>
    </w:p>
    <w:p w14:paraId="1A7E0D3C" w14:textId="77777777" w:rsidR="00D10E41" w:rsidRPr="00E70AD8" w:rsidRDefault="00D10E41" w:rsidP="00D10E41">
      <w:pPr>
        <w:pStyle w:val="NixNormal"/>
        <w:numPr>
          <w:ilvl w:val="0"/>
          <w:numId w:val="4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Accounts that show unexpectedly large cash deposits and immediate withdrawals;</w:t>
      </w:r>
    </w:p>
    <w:p w14:paraId="70CE7B6E" w14:textId="77777777" w:rsidR="00D10E41" w:rsidRPr="00E70AD8" w:rsidRDefault="00D10E41" w:rsidP="00D10E41">
      <w:pPr>
        <w:pStyle w:val="NixNormal"/>
        <w:numPr>
          <w:ilvl w:val="0"/>
          <w:numId w:val="4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A frequent exchange of small denomination notes for large denomination notes;</w:t>
      </w:r>
    </w:p>
    <w:p w14:paraId="3C62137D" w14:textId="77777777" w:rsidR="00D10E41" w:rsidRPr="00E70AD8" w:rsidRDefault="00D10E41" w:rsidP="00D10E41">
      <w:pPr>
        <w:pStyle w:val="NixNormal"/>
        <w:numPr>
          <w:ilvl w:val="0"/>
          <w:numId w:val="4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Client appears to have accounts with several financial institutions without no apparent reason;</w:t>
      </w:r>
    </w:p>
    <w:p w14:paraId="199264E0" w14:textId="77777777" w:rsidR="00D10E41" w:rsidRPr="00E70AD8" w:rsidRDefault="00D10E41" w:rsidP="00D10E41">
      <w:pPr>
        <w:pStyle w:val="NixNormal"/>
        <w:numPr>
          <w:ilvl w:val="0"/>
          <w:numId w:val="4"/>
        </w:numPr>
        <w:rPr>
          <w:i w:val="0"/>
          <w:color w:val="000000" w:themeColor="text1"/>
        </w:rPr>
      </w:pPr>
      <w:r w:rsidRPr="00E70AD8">
        <w:rPr>
          <w:i w:val="0"/>
          <w:color w:val="000000" w:themeColor="text1"/>
        </w:rPr>
        <w:t>Involvement of significant amounts of cash in circumstances that’s difficult to explain.</w:t>
      </w:r>
    </w:p>
    <w:p w14:paraId="36604B37" w14:textId="77777777" w:rsidR="0011762C" w:rsidRDefault="0011762C"/>
    <w:p w14:paraId="27324A29" w14:textId="77777777" w:rsidR="0011762C" w:rsidRDefault="0011762C"/>
    <w:p w14:paraId="4F53BDD1" w14:textId="77777777" w:rsidR="0011762C" w:rsidRDefault="0011762C"/>
    <w:p w14:paraId="5AA5DA3C" w14:textId="77777777" w:rsidR="0011762C" w:rsidRDefault="0011762C"/>
    <w:sectPr w:rsidR="0011762C" w:rsidSect="0011762C">
      <w:headerReference w:type="first" r:id="rId7"/>
      <w:footerReference w:type="first" r:id="rId8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B24C" w14:textId="77777777" w:rsidR="0017019B" w:rsidRDefault="0017019B" w:rsidP="007D43A7">
      <w:pPr>
        <w:spacing w:after="0" w:line="240" w:lineRule="auto"/>
      </w:pPr>
      <w:r>
        <w:separator/>
      </w:r>
    </w:p>
  </w:endnote>
  <w:endnote w:type="continuationSeparator" w:id="0">
    <w:p w14:paraId="6AB7A794" w14:textId="77777777" w:rsidR="0017019B" w:rsidRDefault="0017019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6EB3D" w14:textId="77777777" w:rsidR="0017019B" w:rsidRDefault="0017019B" w:rsidP="007D43A7">
      <w:pPr>
        <w:spacing w:after="0" w:line="240" w:lineRule="auto"/>
      </w:pPr>
      <w:r>
        <w:separator/>
      </w:r>
    </w:p>
  </w:footnote>
  <w:footnote w:type="continuationSeparator" w:id="0">
    <w:p w14:paraId="4BB43F99" w14:textId="77777777" w:rsidR="0017019B" w:rsidRDefault="0017019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17019B"/>
    <w:rsid w:val="003A4868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984EE3"/>
    <w:rsid w:val="00990025"/>
    <w:rsid w:val="00990622"/>
    <w:rsid w:val="00B01FD8"/>
    <w:rsid w:val="00B22352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2016-07-21T14:08:00Z</cp:lastPrinted>
  <dcterms:created xsi:type="dcterms:W3CDTF">2020-02-10T13:29:00Z</dcterms:created>
  <dcterms:modified xsi:type="dcterms:W3CDTF">2020-02-10T13:29:00Z</dcterms:modified>
</cp:coreProperties>
</file>