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1A766594" w:rsidR="006014C5" w:rsidRDefault="00CA4222" w:rsidP="005F3CE7">
      <w:pPr>
        <w:pStyle w:val="NoSpacing"/>
        <w:rPr>
          <w:rFonts w:ascii="Tahoma" w:hAnsi="Tahoma" w:cs="Tahoma"/>
          <w:b/>
          <w:bCs/>
          <w:sz w:val="28"/>
          <w:szCs w:val="28"/>
          <w:lang w:val="en"/>
        </w:rPr>
      </w:pPr>
      <w:r>
        <w:rPr>
          <w:noProof/>
          <w:lang w:val="en-US"/>
        </w:rPr>
        <w:drawing>
          <wp:inline distT="0" distB="0" distL="0" distR="0" wp14:anchorId="4B2392B1" wp14:editId="26BAB1AE">
            <wp:extent cx="6390640"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783080"/>
                    </a:xfrm>
                    <a:prstGeom prst="rect">
                      <a:avLst/>
                    </a:prstGeom>
                  </pic:spPr>
                </pic:pic>
              </a:graphicData>
            </a:graphic>
          </wp:inline>
        </w:drawing>
      </w:r>
    </w:p>
    <w:p w14:paraId="1B9076A7" w14:textId="0A5E0503" w:rsidR="006014C5" w:rsidRDefault="006014C5" w:rsidP="006014C5">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p>
    <w:p w14:paraId="10249F91" w14:textId="77777777" w:rsidR="006014C5" w:rsidRDefault="006014C5" w:rsidP="006014C5">
      <w:pPr>
        <w:pStyle w:val="NoSpacing"/>
        <w:rPr>
          <w:rFonts w:ascii="Tahoma" w:hAnsi="Tahoma" w:cs="Tahoma"/>
          <w:b/>
          <w:bCs/>
          <w:sz w:val="28"/>
          <w:szCs w:val="28"/>
          <w:lang w:val="en"/>
        </w:rPr>
      </w:pP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5A50E7B5"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7777777"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1BF320C7" w14:textId="77777777" w:rsidR="00E1739A" w:rsidRDefault="00E1739A" w:rsidP="00E1739A">
      <w:pPr>
        <w:pStyle w:val="NoSpacing"/>
        <w:numPr>
          <w:ilvl w:val="0"/>
          <w:numId w:val="3"/>
        </w:numPr>
        <w:ind w:left="720"/>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593D3C79" w14:textId="77777777" w:rsidR="00E1739A" w:rsidRDefault="00E1739A" w:rsidP="00E1739A">
      <w:pPr>
        <w:pStyle w:val="NoSpacing"/>
        <w:numPr>
          <w:ilvl w:val="0"/>
          <w:numId w:val="3"/>
        </w:numPr>
        <w:ind w:left="720"/>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1D45C10E" w14:textId="77777777" w:rsidR="00E1739A" w:rsidRDefault="00E1739A" w:rsidP="00E1739A">
      <w:pPr>
        <w:pStyle w:val="NoSpacing"/>
        <w:numPr>
          <w:ilvl w:val="0"/>
          <w:numId w:val="3"/>
        </w:numPr>
        <w:ind w:left="720"/>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180BFA6C" w14:textId="77777777" w:rsidR="00E1739A" w:rsidRDefault="00E1739A" w:rsidP="00E1739A">
      <w:pPr>
        <w:pStyle w:val="NoSpacing"/>
        <w:numPr>
          <w:ilvl w:val="0"/>
          <w:numId w:val="3"/>
        </w:numPr>
        <w:ind w:left="720"/>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1E92CDE3" w14:textId="77777777" w:rsidR="00E1739A" w:rsidRDefault="00E1739A" w:rsidP="00E1739A">
      <w:pPr>
        <w:pStyle w:val="NoSpacing"/>
        <w:numPr>
          <w:ilvl w:val="0"/>
          <w:numId w:val="3"/>
        </w:numPr>
        <w:ind w:left="720"/>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00F15057" w14:textId="77777777" w:rsidR="00E1739A" w:rsidRDefault="00E1739A" w:rsidP="00E1739A">
      <w:pPr>
        <w:pStyle w:val="NoSpacing"/>
        <w:numPr>
          <w:ilvl w:val="0"/>
          <w:numId w:val="3"/>
        </w:numPr>
        <w:ind w:left="720"/>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44A3C909" w14:textId="77777777" w:rsidR="00E1739A" w:rsidRDefault="00E1739A" w:rsidP="00E1739A">
      <w:pPr>
        <w:pStyle w:val="NoSpacing"/>
        <w:numPr>
          <w:ilvl w:val="0"/>
          <w:numId w:val="3"/>
        </w:numPr>
        <w:ind w:left="720"/>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5A643749" w14:textId="77777777" w:rsidR="00E1739A" w:rsidRDefault="00E1739A" w:rsidP="00E1739A">
      <w:pPr>
        <w:pStyle w:val="NoSpacing"/>
        <w:numPr>
          <w:ilvl w:val="0"/>
          <w:numId w:val="3"/>
        </w:numPr>
        <w:ind w:left="720"/>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51A9C8BB" w14:textId="77777777" w:rsidR="00E1739A" w:rsidRDefault="00E1739A" w:rsidP="00E1739A">
      <w:pPr>
        <w:pStyle w:val="NoSpacing"/>
        <w:numPr>
          <w:ilvl w:val="0"/>
          <w:numId w:val="3"/>
        </w:numPr>
        <w:ind w:left="720"/>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w:t>
      </w:r>
      <w:r w:rsidRPr="00CA4222">
        <w:rPr>
          <w:rFonts w:ascii="Tahoma" w:hAnsi="Tahoma" w:cs="Tahoma"/>
          <w:lang w:val="en"/>
        </w:rPr>
        <w:lastRenderedPageBreak/>
        <w:t>and / or exclusions. If there are any uncertainties, I will make time to consult my advisor to discuss the necessary information.</w:t>
      </w:r>
    </w:p>
    <w:p w14:paraId="1B840BAF" w14:textId="77777777" w:rsidR="006014C5" w:rsidRPr="00CA4222" w:rsidRDefault="006014C5" w:rsidP="006014C5">
      <w:pPr>
        <w:pStyle w:val="NoSpacing"/>
        <w:jc w:val="left"/>
        <w:rPr>
          <w:rFonts w:ascii="Tahoma" w:hAnsi="Tahoma" w:cs="Tahoma"/>
          <w:lang w:val="en"/>
        </w:rPr>
      </w:pP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77777777"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759803A5" w:rsidR="006014C5" w:rsidRPr="00E1739A" w:rsidRDefault="006014C5" w:rsidP="00213B85">
      <w:pPr>
        <w:pStyle w:val="NoSpacing"/>
        <w:numPr>
          <w:ilvl w:val="0"/>
          <w:numId w:val="2"/>
        </w:numPr>
        <w:jc w:val="left"/>
        <w:rPr>
          <w:rFonts w:ascii="Tahoma" w:eastAsia="Times New Roman" w:hAnsi="Tahoma" w:cs="Tahoma"/>
          <w:lang w:eastAsia="en-ZA"/>
        </w:rPr>
      </w:pPr>
      <w:r w:rsidRPr="00E1739A">
        <w:rPr>
          <w:rFonts w:ascii="Tahoma" w:hAnsi="Tahoma" w:cs="Tahoma"/>
          <w:lang w:val="en"/>
        </w:rPr>
        <w:t>Authorization to obtain information</w:t>
      </w:r>
      <w:r w:rsidR="00E1739A" w:rsidRPr="00E1739A">
        <w:rPr>
          <w:rFonts w:ascii="Tahoma" w:hAnsi="Tahoma" w:cs="Tahoma"/>
          <w:lang w:val="en"/>
        </w:rPr>
        <w:t xml:space="preserve"> </w:t>
      </w:r>
      <w:r w:rsidR="00E1739A">
        <w:rPr>
          <w:rFonts w:ascii="Tahoma" w:hAnsi="Tahoma" w:cs="Tahoma"/>
          <w:lang w:val="en"/>
        </w:rPr>
        <w:t xml:space="preserve">and </w:t>
      </w:r>
      <w:bookmarkStart w:id="0" w:name="_GoBack"/>
      <w:bookmarkEnd w:id="0"/>
      <w:r w:rsidRPr="00E1739A">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E1739A"/>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45023" w14:textId="77777777" w:rsidR="00D86382" w:rsidRDefault="00D86382" w:rsidP="006014C5">
      <w:pPr>
        <w:spacing w:after="0" w:line="240" w:lineRule="auto"/>
      </w:pPr>
      <w:r>
        <w:separator/>
      </w:r>
    </w:p>
  </w:endnote>
  <w:endnote w:type="continuationSeparator" w:id="0">
    <w:p w14:paraId="55EA74FA" w14:textId="77777777" w:rsidR="00D86382" w:rsidRDefault="00D86382"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739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739A">
              <w:rPr>
                <w:b/>
                <w:bCs/>
                <w:noProof/>
              </w:rPr>
              <w:t>4</w:t>
            </w:r>
            <w:r>
              <w:rPr>
                <w:b/>
                <w:bCs/>
                <w:sz w:val="24"/>
                <w:szCs w:val="24"/>
              </w:rPr>
              <w:fldChar w:fldCharType="end"/>
            </w:r>
          </w:p>
        </w:sdtContent>
      </w:sdt>
    </w:sdtContent>
  </w:sdt>
  <w:p w14:paraId="0C33601D" w14:textId="36210522" w:rsidR="007F4D20" w:rsidRPr="006014C5" w:rsidRDefault="00E1739A"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BD7E" w14:textId="77777777" w:rsidR="00D86382" w:rsidRDefault="00D86382" w:rsidP="006014C5">
      <w:pPr>
        <w:spacing w:after="0" w:line="240" w:lineRule="auto"/>
      </w:pPr>
      <w:r>
        <w:separator/>
      </w:r>
    </w:p>
  </w:footnote>
  <w:footnote w:type="continuationSeparator" w:id="0">
    <w:p w14:paraId="2C0D4937" w14:textId="77777777" w:rsidR="00D86382" w:rsidRDefault="00D86382"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F419D"/>
    <w:rsid w:val="002147F7"/>
    <w:rsid w:val="00217524"/>
    <w:rsid w:val="00224FCE"/>
    <w:rsid w:val="00227690"/>
    <w:rsid w:val="002727C7"/>
    <w:rsid w:val="0027759E"/>
    <w:rsid w:val="00344565"/>
    <w:rsid w:val="00411A5D"/>
    <w:rsid w:val="00443F87"/>
    <w:rsid w:val="00574B77"/>
    <w:rsid w:val="005F3CE7"/>
    <w:rsid w:val="006014C5"/>
    <w:rsid w:val="007B3A93"/>
    <w:rsid w:val="00833D27"/>
    <w:rsid w:val="009163A6"/>
    <w:rsid w:val="00986319"/>
    <w:rsid w:val="00A02DBB"/>
    <w:rsid w:val="00A2342D"/>
    <w:rsid w:val="00A74498"/>
    <w:rsid w:val="00A90429"/>
    <w:rsid w:val="00A95E03"/>
    <w:rsid w:val="00C35E1C"/>
    <w:rsid w:val="00C44781"/>
    <w:rsid w:val="00CA4222"/>
    <w:rsid w:val="00CC33BD"/>
    <w:rsid w:val="00D86382"/>
    <w:rsid w:val="00E1739A"/>
    <w:rsid w:val="00E53259"/>
    <w:rsid w:val="00E72890"/>
    <w:rsid w:val="00F34EA4"/>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9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12</cp:revision>
  <dcterms:created xsi:type="dcterms:W3CDTF">2021-08-30T13:18:00Z</dcterms:created>
  <dcterms:modified xsi:type="dcterms:W3CDTF">2022-02-22T17:45:00Z</dcterms:modified>
</cp:coreProperties>
</file>